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90364">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2"/>
      <w:bookmarkStart w:id="1" w:name="OLE_LINK1"/>
      <w:r>
        <w:rPr>
          <w:rFonts w:hint="eastAsia" w:ascii="方正小标宋简体" w:hAnsi="宋体" w:eastAsia="方正小标宋简体" w:cs="宋体"/>
          <w:bCs/>
          <w:sz w:val="24"/>
          <w:szCs w:val="24"/>
          <w:highlight w:val="none"/>
          <w:lang w:val="zh-CN"/>
        </w:rPr>
        <w:t>海安裕海贸易有限公司</w:t>
      </w:r>
    </w:p>
    <w:p w14:paraId="6E189A7D">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NB-IoT物联网阀控水表项目</w:t>
      </w:r>
    </w:p>
    <w:p w14:paraId="2745E0CB">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p>
    <w:p w14:paraId="71CACB05">
      <w:pPr>
        <w:widowControl/>
        <w:shd w:val="clear" w:color="auto" w:fill="FFFFFF"/>
        <w:spacing w:line="42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14:paraId="419D765E">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海安裕海贸易有限公司NB-IoT物联网阀控水表</w:t>
      </w:r>
      <w:r>
        <w:rPr>
          <w:rFonts w:hint="eastAsia" w:ascii="宋体" w:hAnsi="宋体" w:cs="宋体"/>
          <w:color w:val="333333"/>
          <w:spacing w:val="7"/>
          <w:kern w:val="0"/>
          <w:sz w:val="24"/>
          <w:szCs w:val="24"/>
          <w:highlight w:val="none"/>
          <w:lang w:val="en-US" w:eastAsia="zh-CN"/>
        </w:rPr>
        <w:t>采购</w:t>
      </w:r>
      <w:r>
        <w:rPr>
          <w:rFonts w:hint="eastAsia" w:ascii="宋体" w:hAnsi="宋体" w:cs="宋体"/>
          <w:color w:val="333333"/>
          <w:spacing w:val="7"/>
          <w:kern w:val="0"/>
          <w:sz w:val="24"/>
          <w:szCs w:val="24"/>
          <w:highlight w:val="none"/>
        </w:rPr>
        <w:t>项目的潜在供应商应在海安市城建开发投资集团有限公司及子公司网站获取采购文件，并于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11</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22</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14：30</w:t>
      </w:r>
      <w:r>
        <w:rPr>
          <w:rFonts w:hint="eastAsia" w:ascii="宋体" w:hAnsi="宋体" w:cs="宋体"/>
          <w:color w:val="333333"/>
          <w:spacing w:val="7"/>
          <w:kern w:val="0"/>
          <w:sz w:val="24"/>
          <w:szCs w:val="24"/>
          <w:highlight w:val="none"/>
        </w:rPr>
        <w:t>（北京时间）前提交响应文件。</w:t>
      </w:r>
    </w:p>
    <w:p w14:paraId="1D8DB516">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14:paraId="40F32482">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NB-IoT物联网阀控水表采购项目</w:t>
      </w:r>
    </w:p>
    <w:p w14:paraId="40D68B7E">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b/>
          <w:bCs/>
          <w:color w:val="333333"/>
          <w:spacing w:val="7"/>
          <w:kern w:val="0"/>
          <w:sz w:val="24"/>
          <w:szCs w:val="24"/>
          <w:highlight w:val="none"/>
          <w:u w:val="single"/>
          <w:lang w:val="en-US" w:eastAsia="zh-CN"/>
        </w:rPr>
        <w:t>48</w:t>
      </w:r>
      <w:r>
        <w:rPr>
          <w:rFonts w:hint="eastAsia" w:ascii="宋体" w:hAnsi="宋体" w:cs="宋体"/>
          <w:color w:val="333333"/>
          <w:spacing w:val="7"/>
          <w:kern w:val="0"/>
          <w:sz w:val="24"/>
          <w:szCs w:val="24"/>
          <w:highlight w:val="none"/>
        </w:rPr>
        <w:t>万元。最终报价超过最高限价的为无效响应文件。（报价包含成本、利润、13%税金等所需所有的费用，应充分考虑市场风险和供货过程中可能发生的费用进行报价。）</w:t>
      </w:r>
    </w:p>
    <w:p w14:paraId="221BEFF1">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14:paraId="01F63101">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14:paraId="4B6CD921">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14:paraId="1DC5A018">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14:paraId="760277FE">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14:paraId="438F6F56">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14:paraId="19986790">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14:paraId="1B45B907">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14:paraId="7E33BBD8">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14:paraId="5FAEEDDE">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（1）报价供应商具有独立法人资格的水表生产厂家</w:t>
      </w:r>
      <w:r>
        <w:rPr>
          <w:rFonts w:hint="eastAsia" w:ascii="宋体" w:hAnsi="宋体" w:cs="宋体"/>
          <w:spacing w:val="7"/>
          <w:kern w:val="0"/>
          <w:sz w:val="24"/>
          <w:szCs w:val="24"/>
          <w:highlight w:val="none"/>
          <w:lang w:val="en-US" w:eastAsia="zh-CN"/>
        </w:rPr>
        <w:t>或经销商</w:t>
      </w:r>
      <w:r>
        <w:rPr>
          <w:rFonts w:hint="eastAsia" w:ascii="宋体" w:hAnsi="宋体" w:cs="宋体"/>
          <w:spacing w:val="7"/>
          <w:kern w:val="0"/>
          <w:sz w:val="24"/>
          <w:szCs w:val="24"/>
          <w:highlight w:val="none"/>
        </w:rPr>
        <w:t>；</w:t>
      </w:r>
    </w:p>
    <w:p w14:paraId="57F2212E">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（2）报价</w:t>
      </w:r>
      <w:r>
        <w:rPr>
          <w:rFonts w:hint="eastAsia" w:ascii="宋体" w:hAnsi="宋体" w:cs="宋体"/>
          <w:spacing w:val="7"/>
          <w:kern w:val="0"/>
          <w:sz w:val="24"/>
          <w:szCs w:val="24"/>
          <w:highlight w:val="none"/>
          <w:lang w:val="en-US" w:eastAsia="zh-CN"/>
        </w:rPr>
        <w:t>供应商</w:t>
      </w:r>
      <w:r>
        <w:rPr>
          <w:rFonts w:hint="eastAsia" w:ascii="宋体" w:hAnsi="宋体" w:cs="宋体"/>
          <w:spacing w:val="7"/>
          <w:kern w:val="0"/>
          <w:sz w:val="24"/>
          <w:szCs w:val="24"/>
          <w:highlight w:val="none"/>
        </w:rPr>
        <w:t>或报价产品制造商具有制造计量器具许可证或提供计量器型式批准证（在有效期内、证书须包含本产品），提供相关证明复印件；</w:t>
      </w:r>
    </w:p>
    <w:p w14:paraId="45AD2F28">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（3）报价产品符合《生活饮用水输配水设备及防护材料卫生安全评价规范》，提供相关检验报告或相关证明文件复印件。</w:t>
      </w:r>
    </w:p>
    <w:p w14:paraId="122536C0">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（4）报价供应商须提供质量承诺书（格式见附件）。。</w:t>
      </w:r>
    </w:p>
    <w:p w14:paraId="1C65FEFF">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14:paraId="77A3A314">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w:t>
      </w:r>
      <w:r>
        <w:rPr>
          <w:rFonts w:hint="eastAsia" w:ascii="宋体" w:hAnsi="宋体" w:cs="宋体"/>
          <w:spacing w:val="7"/>
          <w:kern w:val="0"/>
          <w:sz w:val="24"/>
          <w:szCs w:val="24"/>
          <w:highlight w:val="none"/>
          <w:lang w:val="en-US" w:eastAsia="zh-CN"/>
        </w:rPr>
        <w:t>11</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22</w:t>
      </w:r>
      <w:r>
        <w:rPr>
          <w:rFonts w:hint="eastAsia" w:ascii="宋体" w:hAnsi="宋体" w:cs="宋体"/>
          <w:spacing w:val="7"/>
          <w:kern w:val="0"/>
          <w:sz w:val="24"/>
          <w:szCs w:val="24"/>
          <w:highlight w:val="none"/>
        </w:rPr>
        <w:t>日</w:t>
      </w:r>
    </w:p>
    <w:p w14:paraId="2963EC24">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14:paraId="5EFCF447">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14:paraId="35756DBC">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14:paraId="1504605A">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14:paraId="13897D4A">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11</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22</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14：30</w:t>
      </w:r>
      <w:r>
        <w:rPr>
          <w:rFonts w:hint="eastAsia" w:ascii="宋体" w:hAnsi="宋体" w:cs="宋体"/>
          <w:color w:val="333333"/>
          <w:spacing w:val="7"/>
          <w:kern w:val="0"/>
          <w:sz w:val="24"/>
          <w:szCs w:val="24"/>
          <w:highlight w:val="none"/>
        </w:rPr>
        <w:t>（北京时间）</w:t>
      </w:r>
    </w:p>
    <w:p w14:paraId="6F0A7725">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14:paraId="4F127E29">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14:paraId="2D5B124F">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14:paraId="65C4E27D">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14:paraId="1038899E">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14:paraId="5E9416AF">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14:paraId="7E20DFCE">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9600</w:t>
      </w:r>
      <w:r>
        <w:rPr>
          <w:rFonts w:ascii="宋体" w:hAnsi="宋体" w:cs="宋体"/>
          <w:color w:val="333333"/>
          <w:spacing w:val="7"/>
          <w:kern w:val="0"/>
          <w:sz w:val="24"/>
          <w:szCs w:val="24"/>
          <w:highlight w:val="none"/>
          <w:u w:val="single"/>
        </w:rPr>
        <w:t>.00元</w:t>
      </w:r>
    </w:p>
    <w:p w14:paraId="3523E51C">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14:paraId="1A7287D2">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14:paraId="2509BCF9">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14:paraId="2FE225C3">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14:paraId="55E44700">
      <w:pPr>
        <w:snapToGrid w:val="0"/>
        <w:spacing w:line="420" w:lineRule="exact"/>
        <w:ind w:firstLine="508" w:firstLineChars="200"/>
        <w:contextualSpacing/>
        <w:rPr>
          <w:rFonts w:hint="eastAsia" w:ascii="宋体" w:hAnsi="宋体" w:cs="宋体"/>
          <w:b/>
          <w:bCs/>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w:t>
      </w:r>
      <w:r>
        <w:rPr>
          <w:rFonts w:hint="eastAsia" w:ascii="宋体" w:hAnsi="宋体" w:cs="宋体"/>
          <w:b/>
          <w:bCs/>
          <w:color w:val="333333"/>
          <w:spacing w:val="7"/>
          <w:kern w:val="0"/>
          <w:sz w:val="24"/>
          <w:szCs w:val="24"/>
          <w:highlight w:val="none"/>
          <w:lang w:val="en-US" w:eastAsia="zh-CN"/>
        </w:rPr>
        <w:t>提供</w:t>
      </w:r>
      <w:r>
        <w:rPr>
          <w:rFonts w:hint="eastAsia" w:ascii="宋体" w:hAnsi="宋体" w:cs="宋体"/>
          <w:b/>
          <w:bCs/>
          <w:color w:val="333333"/>
          <w:spacing w:val="7"/>
          <w:kern w:val="0"/>
          <w:sz w:val="24"/>
          <w:szCs w:val="24"/>
          <w:highlight w:val="none"/>
        </w:rPr>
        <w:t>DN15 NB-IoT物联网阀控水表1台</w:t>
      </w:r>
    </w:p>
    <w:p w14:paraId="1CFB7B29">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14:paraId="1E6E4736">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14:paraId="5DA99225">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14:paraId="05DA18D2">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14:paraId="53172FF6">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14:paraId="19B4EBD0">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14:paraId="023F801D">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14:paraId="1D7B6926">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14:paraId="38FEEFB6">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NB-IoT物联网阀控水表</w:t>
      </w:r>
      <w:r>
        <w:rPr>
          <w:rFonts w:hint="eastAsia" w:ascii="宋体" w:hAnsi="宋体"/>
          <w:sz w:val="36"/>
          <w:szCs w:val="31"/>
          <w:highlight w:val="none"/>
        </w:rPr>
        <w:t>采购文件</w:t>
      </w:r>
    </w:p>
    <w:p w14:paraId="37315BA1">
      <w:pPr>
        <w:spacing w:line="500" w:lineRule="exact"/>
        <w:ind w:firstLine="573"/>
        <w:rPr>
          <w:rFonts w:hint="eastAsia" w:ascii="宋体" w:hAnsi="宋体"/>
          <w:sz w:val="24"/>
          <w:szCs w:val="24"/>
          <w:highlight w:val="none"/>
        </w:rPr>
      </w:pPr>
      <w:r>
        <w:rPr>
          <w:rFonts w:hint="eastAsia" w:ascii="宋体" w:hAnsi="宋体"/>
          <w:sz w:val="24"/>
          <w:szCs w:val="24"/>
          <w:highlight w:val="none"/>
        </w:rPr>
        <w:t>海安裕海贸易有限公司现对</w:t>
      </w:r>
      <w:r>
        <w:rPr>
          <w:rFonts w:hint="eastAsia" w:ascii="宋体" w:hAnsi="宋体"/>
          <w:sz w:val="24"/>
          <w:szCs w:val="24"/>
          <w:highlight w:val="none"/>
          <w:lang w:val="en-US" w:eastAsia="zh-CN"/>
        </w:rPr>
        <w:t>NB-IoT物联网阀控水表</w:t>
      </w:r>
      <w:r>
        <w:rPr>
          <w:rFonts w:hint="eastAsia" w:ascii="宋体" w:hAnsi="宋体"/>
          <w:sz w:val="24"/>
          <w:szCs w:val="24"/>
          <w:highlight w:val="none"/>
        </w:rPr>
        <w:t>采购项目进行采购，现邀请有相关能力的供应商参加报价。</w:t>
      </w:r>
    </w:p>
    <w:p w14:paraId="51C73F0B">
      <w:pPr>
        <w:spacing w:line="500" w:lineRule="exact"/>
        <w:ind w:firstLine="573"/>
        <w:rPr>
          <w:rFonts w:hint="eastAsia" w:ascii="宋体" w:hAnsi="宋体"/>
          <w:sz w:val="24"/>
          <w:szCs w:val="24"/>
          <w:highlight w:val="none"/>
        </w:rPr>
      </w:pPr>
      <w:r>
        <w:rPr>
          <w:rFonts w:hint="eastAsia" w:ascii="宋体" w:hAnsi="宋体"/>
          <w:sz w:val="24"/>
          <w:szCs w:val="24"/>
          <w:highlight w:val="none"/>
        </w:rPr>
        <w:t>一、报价须知:</w:t>
      </w:r>
    </w:p>
    <w:p w14:paraId="6C313CAB">
      <w:pPr>
        <w:spacing w:line="500" w:lineRule="exact"/>
        <w:ind w:firstLine="573"/>
        <w:rPr>
          <w:rFonts w:hint="eastAsia" w:ascii="宋体" w:hAnsi="宋体"/>
          <w:sz w:val="24"/>
          <w:szCs w:val="24"/>
          <w:highlight w:val="none"/>
        </w:rPr>
      </w:pPr>
      <w:r>
        <w:rPr>
          <w:rFonts w:hint="eastAsia" w:ascii="宋体" w:hAnsi="宋体"/>
          <w:sz w:val="24"/>
          <w:szCs w:val="24"/>
          <w:highlight w:val="none"/>
        </w:rPr>
        <w:t>1、报价人资格要求</w:t>
      </w:r>
    </w:p>
    <w:p w14:paraId="5A902AD6">
      <w:pPr>
        <w:spacing w:line="500" w:lineRule="exact"/>
        <w:ind w:firstLine="570"/>
        <w:rPr>
          <w:rFonts w:hint="eastAsia" w:ascii="宋体" w:hAnsi="宋体"/>
          <w:sz w:val="24"/>
          <w:szCs w:val="24"/>
          <w:highlight w:val="none"/>
        </w:rPr>
      </w:pPr>
      <w:r>
        <w:rPr>
          <w:rFonts w:hint="eastAsia" w:ascii="宋体" w:hAnsi="宋体"/>
          <w:sz w:val="24"/>
          <w:szCs w:val="24"/>
          <w:highlight w:val="none"/>
        </w:rPr>
        <w:t>1.</w:t>
      </w:r>
      <w:r>
        <w:rPr>
          <w:rFonts w:ascii="宋体" w:hAnsi="宋体"/>
          <w:sz w:val="24"/>
          <w:szCs w:val="24"/>
          <w:highlight w:val="none"/>
        </w:rPr>
        <w:t>1</w:t>
      </w:r>
      <w:r>
        <w:rPr>
          <w:rFonts w:hint="eastAsia" w:ascii="宋体" w:hAnsi="宋体"/>
          <w:sz w:val="24"/>
          <w:szCs w:val="24"/>
          <w:highlight w:val="none"/>
        </w:rPr>
        <w:t>法人或者其他组织的营业执照等证明文件，自然人的身份证明；</w:t>
      </w:r>
    </w:p>
    <w:p w14:paraId="301D5C33">
      <w:pPr>
        <w:spacing w:line="500" w:lineRule="exact"/>
        <w:ind w:firstLine="570"/>
        <w:rPr>
          <w:rFonts w:hint="eastAsia" w:ascii="宋体" w:hAnsi="宋体"/>
          <w:sz w:val="24"/>
          <w:szCs w:val="24"/>
          <w:highlight w:val="none"/>
        </w:rPr>
      </w:pPr>
      <w:r>
        <w:rPr>
          <w:rFonts w:ascii="宋体" w:hAnsi="宋体"/>
          <w:sz w:val="24"/>
          <w:szCs w:val="24"/>
          <w:highlight w:val="none"/>
        </w:rPr>
        <w:t>1.2</w:t>
      </w:r>
      <w:r>
        <w:rPr>
          <w:rFonts w:hint="eastAsia" w:ascii="宋体" w:hAnsi="宋体"/>
          <w:sz w:val="24"/>
          <w:szCs w:val="24"/>
          <w:highlight w:val="none"/>
        </w:rPr>
        <w:t>上一年度的财务状况报告承诺函或上一年度财务审计报告（新成立单位提供本年度承诺函，格式自拟）；</w:t>
      </w:r>
    </w:p>
    <w:p w14:paraId="15CE475F">
      <w:pPr>
        <w:spacing w:line="500" w:lineRule="exact"/>
        <w:ind w:firstLine="570"/>
        <w:rPr>
          <w:rFonts w:hint="eastAsia" w:ascii="宋体" w:hAnsi="宋体"/>
          <w:sz w:val="24"/>
          <w:szCs w:val="24"/>
          <w:highlight w:val="none"/>
        </w:rPr>
      </w:pPr>
      <w:r>
        <w:rPr>
          <w:rFonts w:ascii="宋体" w:hAnsi="宋体"/>
          <w:sz w:val="24"/>
          <w:szCs w:val="24"/>
          <w:highlight w:val="none"/>
        </w:rPr>
        <w:t>1.3</w:t>
      </w:r>
      <w:r>
        <w:rPr>
          <w:rFonts w:hint="eastAsia" w:ascii="宋体" w:hAnsi="宋体"/>
          <w:sz w:val="24"/>
          <w:szCs w:val="24"/>
          <w:highlight w:val="none"/>
        </w:rPr>
        <w:t>具有履行合同所必需的设备和专业技术能力（提供承诺函，格式可自拟）；</w:t>
      </w:r>
    </w:p>
    <w:p w14:paraId="379F2167">
      <w:pPr>
        <w:spacing w:line="500" w:lineRule="exact"/>
        <w:ind w:firstLine="570"/>
        <w:rPr>
          <w:rFonts w:hint="eastAsia" w:ascii="宋体" w:hAnsi="宋体"/>
          <w:sz w:val="24"/>
          <w:szCs w:val="24"/>
          <w:highlight w:val="none"/>
        </w:rPr>
      </w:pPr>
      <w:r>
        <w:rPr>
          <w:rFonts w:ascii="宋体" w:hAnsi="宋体"/>
          <w:sz w:val="24"/>
          <w:szCs w:val="24"/>
          <w:highlight w:val="none"/>
        </w:rPr>
        <w:t>1.4</w:t>
      </w:r>
      <w:r>
        <w:rPr>
          <w:rFonts w:hint="eastAsia" w:ascii="宋体" w:hAnsi="宋体"/>
          <w:sz w:val="24"/>
          <w:szCs w:val="24"/>
          <w:highlight w:val="none"/>
        </w:rPr>
        <w:t>有依法缴纳税收和社会保障资金的良好记录（提供相关证明材料）；</w:t>
      </w:r>
    </w:p>
    <w:p w14:paraId="592412F0">
      <w:pPr>
        <w:spacing w:line="500" w:lineRule="exact"/>
        <w:ind w:firstLine="570"/>
        <w:rPr>
          <w:rFonts w:hint="eastAsia" w:ascii="宋体" w:hAnsi="宋体"/>
          <w:sz w:val="24"/>
          <w:szCs w:val="24"/>
          <w:highlight w:val="none"/>
        </w:rPr>
      </w:pPr>
      <w:r>
        <w:rPr>
          <w:rFonts w:ascii="宋体" w:hAnsi="宋体"/>
          <w:sz w:val="24"/>
          <w:szCs w:val="24"/>
          <w:highlight w:val="none"/>
        </w:rPr>
        <w:t>1.5</w:t>
      </w:r>
      <w:r>
        <w:rPr>
          <w:rFonts w:hint="eastAsia" w:ascii="宋体" w:hAnsi="宋体"/>
          <w:sz w:val="24"/>
          <w:szCs w:val="24"/>
          <w:highlight w:val="none"/>
        </w:rPr>
        <w:t>未被“信用中国”网站列入失信被执行人、重大税收违法案件当事人名单、政府采购严重失信行为记录名单（提供承诺函，格式可自拟）；</w:t>
      </w:r>
    </w:p>
    <w:p w14:paraId="12E55796">
      <w:pPr>
        <w:spacing w:line="500" w:lineRule="exact"/>
        <w:ind w:firstLine="570"/>
        <w:rPr>
          <w:rFonts w:hint="eastAsia" w:ascii="宋体" w:hAnsi="宋体"/>
          <w:sz w:val="24"/>
          <w:szCs w:val="24"/>
          <w:highlight w:val="none"/>
        </w:rPr>
      </w:pPr>
      <w:r>
        <w:rPr>
          <w:rFonts w:ascii="宋体" w:hAnsi="宋体"/>
          <w:sz w:val="24"/>
          <w:szCs w:val="24"/>
          <w:highlight w:val="none"/>
        </w:rPr>
        <w:t>1.6</w:t>
      </w:r>
      <w:r>
        <w:rPr>
          <w:rFonts w:hint="eastAsia" w:ascii="宋体" w:hAnsi="宋体"/>
          <w:sz w:val="24"/>
          <w:szCs w:val="24"/>
          <w:highlight w:val="none"/>
        </w:rPr>
        <w:t>本项目的特定资格要求：</w:t>
      </w:r>
    </w:p>
    <w:p w14:paraId="4E18C9E7">
      <w:pPr>
        <w:spacing w:line="500" w:lineRule="exact"/>
        <w:ind w:firstLine="570"/>
        <w:rPr>
          <w:rFonts w:hint="eastAsia" w:ascii="宋体" w:hAnsi="宋体"/>
          <w:b/>
          <w:sz w:val="24"/>
          <w:szCs w:val="24"/>
          <w:highlight w:val="none"/>
        </w:rPr>
      </w:pPr>
      <w:r>
        <w:rPr>
          <w:rFonts w:hint="eastAsia" w:ascii="宋体" w:hAnsi="宋体"/>
          <w:b/>
          <w:sz w:val="24"/>
          <w:szCs w:val="24"/>
          <w:highlight w:val="none"/>
        </w:rPr>
        <w:t>（1）报价供应商具有独立法人资格的水表生产厂家</w:t>
      </w:r>
      <w:r>
        <w:rPr>
          <w:rFonts w:hint="eastAsia" w:ascii="宋体" w:hAnsi="宋体"/>
          <w:b/>
          <w:sz w:val="24"/>
          <w:szCs w:val="24"/>
          <w:highlight w:val="none"/>
          <w:lang w:val="en-US" w:eastAsia="zh-CN"/>
        </w:rPr>
        <w:t>或经销商</w:t>
      </w:r>
      <w:r>
        <w:rPr>
          <w:rFonts w:hint="eastAsia" w:ascii="宋体" w:hAnsi="宋体"/>
          <w:b/>
          <w:sz w:val="24"/>
          <w:szCs w:val="24"/>
          <w:highlight w:val="none"/>
        </w:rPr>
        <w:t>；</w:t>
      </w:r>
    </w:p>
    <w:p w14:paraId="23A09C26">
      <w:pPr>
        <w:spacing w:line="500" w:lineRule="exact"/>
        <w:ind w:firstLine="570"/>
        <w:rPr>
          <w:rFonts w:hint="eastAsia" w:ascii="宋体" w:hAnsi="宋体"/>
          <w:b/>
          <w:sz w:val="24"/>
          <w:szCs w:val="24"/>
          <w:highlight w:val="none"/>
        </w:rPr>
      </w:pPr>
      <w:r>
        <w:rPr>
          <w:rFonts w:hint="eastAsia" w:ascii="宋体" w:hAnsi="宋体"/>
          <w:b/>
          <w:sz w:val="24"/>
          <w:szCs w:val="24"/>
          <w:highlight w:val="none"/>
        </w:rPr>
        <w:t>（2）报价供应商或报价产品制造商具有制造计量器具许可证或提供计量器型式批准证（在有效期内、证书须包含本产品），提供相关证明复印件；</w:t>
      </w:r>
    </w:p>
    <w:p w14:paraId="5C347C58">
      <w:pPr>
        <w:spacing w:line="500" w:lineRule="exact"/>
        <w:ind w:firstLine="570"/>
        <w:rPr>
          <w:rFonts w:hint="eastAsia" w:ascii="宋体" w:hAnsi="宋体"/>
          <w:b/>
          <w:sz w:val="24"/>
          <w:szCs w:val="24"/>
          <w:highlight w:val="none"/>
        </w:rPr>
      </w:pPr>
      <w:r>
        <w:rPr>
          <w:rFonts w:hint="eastAsia" w:ascii="宋体" w:hAnsi="宋体"/>
          <w:b/>
          <w:sz w:val="24"/>
          <w:szCs w:val="24"/>
          <w:highlight w:val="none"/>
        </w:rPr>
        <w:t>（3）报价产品符合《生活饮用水输配水设备及防护材料卫生安全评价规范》，提供相关检验报告或相关证明文件复印件。</w:t>
      </w:r>
    </w:p>
    <w:p w14:paraId="56653DE2">
      <w:pPr>
        <w:spacing w:line="500" w:lineRule="exact"/>
        <w:ind w:firstLine="570"/>
        <w:rPr>
          <w:rFonts w:hint="eastAsia" w:ascii="宋体" w:hAnsi="宋体"/>
          <w:b/>
          <w:sz w:val="24"/>
          <w:szCs w:val="24"/>
          <w:highlight w:val="none"/>
        </w:rPr>
      </w:pPr>
      <w:r>
        <w:rPr>
          <w:rFonts w:hint="eastAsia" w:ascii="宋体" w:hAnsi="宋体"/>
          <w:b/>
          <w:sz w:val="24"/>
          <w:szCs w:val="24"/>
          <w:highlight w:val="none"/>
        </w:rPr>
        <w:t>（4）报价供应商须提供质量承诺书（格式见附件）。</w:t>
      </w:r>
    </w:p>
    <w:p w14:paraId="540B14CB">
      <w:pPr>
        <w:spacing w:line="500" w:lineRule="exact"/>
        <w:ind w:firstLine="570"/>
        <w:rPr>
          <w:rFonts w:hint="eastAsia" w:ascii="宋体" w:hAnsi="宋体"/>
          <w:sz w:val="24"/>
          <w:szCs w:val="24"/>
          <w:highlight w:val="none"/>
        </w:rPr>
      </w:pPr>
      <w:r>
        <w:rPr>
          <w:rFonts w:hint="eastAsia" w:ascii="宋体" w:hAnsi="宋体"/>
          <w:sz w:val="24"/>
          <w:szCs w:val="24"/>
          <w:highlight w:val="none"/>
        </w:rPr>
        <w:t>二、质量技术及相关要求:</w:t>
      </w:r>
    </w:p>
    <w:p w14:paraId="13CCCFB5">
      <w:pPr>
        <w:keepNext w:val="0"/>
        <w:keepLines w:val="0"/>
        <w:pageBreakBefore w:val="0"/>
        <w:widowControl w:val="0"/>
        <w:kinsoku/>
        <w:wordWrap/>
        <w:overflowPunct/>
        <w:topLinePunct w:val="0"/>
        <w:autoSpaceDE/>
        <w:autoSpaceDN/>
        <w:bidi w:val="0"/>
        <w:adjustRightInd/>
        <w:snapToGrid/>
        <w:spacing w:line="440" w:lineRule="exact"/>
        <w:ind w:firstLine="484" w:firstLineChars="200"/>
        <w:textAlignment w:val="auto"/>
        <w:rPr>
          <w:rFonts w:hint="eastAsia" w:ascii="宋体" w:hAnsi="宋体" w:cs="宋体"/>
          <w:sz w:val="24"/>
          <w:szCs w:val="24"/>
        </w:rPr>
      </w:pPr>
      <w:r>
        <w:rPr>
          <w:rFonts w:hint="eastAsia" w:ascii="宋体" w:hAnsi="宋体" w:cs="宋体"/>
          <w:spacing w:val="1"/>
          <w:sz w:val="24"/>
          <w:szCs w:val="24"/>
          <w:highlight w:val="none"/>
          <w:lang w:val="en-US" w:eastAsia="zh-CN"/>
        </w:rPr>
        <w:t>1、</w:t>
      </w:r>
      <w:r>
        <w:rPr>
          <w:rFonts w:hint="eastAsia" w:ascii="宋体" w:hAnsi="宋体" w:cs="宋体"/>
          <w:sz w:val="24"/>
          <w:szCs w:val="24"/>
        </w:rPr>
        <w:t>技术要求：</w:t>
      </w:r>
    </w:p>
    <w:p w14:paraId="2B70D0A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rPr>
      </w:pPr>
      <w:r>
        <w:rPr>
          <w:rFonts w:hint="eastAsia" w:ascii="宋体" w:hAnsi="宋体" w:cs="宋体"/>
          <w:sz w:val="24"/>
        </w:rPr>
        <w:t>生产厂家的生产工艺、装备、环保措施必须符合国家产业发展政策的相关规定，生产厂家具备稳定生产能力（不得贴牌）。因不符合国家环保、产业政策要求正被停产的生产厂家不得参与投标。</w:t>
      </w:r>
    </w:p>
    <w:p w14:paraId="3957A55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NB-IoT物联网阀控水表，电子装置及其机电转换装置与水表机械指示装置之间的结合应无妨碍读数，同时电子部分可与基表分体。</w:t>
      </w:r>
    </w:p>
    <w:p w14:paraId="42C86A62">
      <w:pPr>
        <w:keepNext w:val="0"/>
        <w:keepLines w:val="0"/>
        <w:pageBreakBefore w:val="0"/>
        <w:widowControl w:val="0"/>
        <w:kinsoku/>
        <w:wordWrap/>
        <w:overflowPunct/>
        <w:topLinePunct w:val="0"/>
        <w:autoSpaceDE/>
        <w:autoSpaceDN/>
        <w:bidi w:val="0"/>
        <w:adjustRightInd/>
        <w:snapToGrid/>
        <w:spacing w:line="440" w:lineRule="exact"/>
        <w:ind w:firstLine="470" w:firstLineChars="195"/>
        <w:textAlignment w:val="auto"/>
        <w:rPr>
          <w:rFonts w:ascii="宋体" w:hAnsi="宋体" w:cs="宋体"/>
          <w:b/>
          <w:sz w:val="24"/>
          <w:szCs w:val="24"/>
        </w:rPr>
      </w:pPr>
      <w:r>
        <w:rPr>
          <w:rFonts w:hint="eastAsia" w:ascii="宋体" w:hAnsi="宋体" w:cs="宋体"/>
          <w:b/>
          <w:sz w:val="24"/>
          <w:szCs w:val="24"/>
          <w:lang w:val="en-US" w:eastAsia="zh-CN"/>
        </w:rPr>
        <w:t xml:space="preserve">1.1 </w:t>
      </w:r>
      <w:r>
        <w:rPr>
          <w:rFonts w:hint="eastAsia" w:ascii="宋体" w:hAnsi="宋体" w:cs="宋体"/>
          <w:b/>
          <w:sz w:val="24"/>
          <w:szCs w:val="24"/>
        </w:rPr>
        <w:t>技术标准</w:t>
      </w:r>
    </w:p>
    <w:p w14:paraId="3BB23C4A">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sz w:val="24"/>
          <w:szCs w:val="24"/>
        </w:rPr>
      </w:pPr>
      <w:r>
        <w:rPr>
          <w:rFonts w:hint="eastAsia" w:ascii="宋体" w:hAnsi="宋体" w:cs="宋体"/>
          <w:sz w:val="24"/>
          <w:szCs w:val="24"/>
        </w:rPr>
        <w:t>货物所有指标应符合以下国家或行业相关标准的最新版本:</w:t>
      </w:r>
    </w:p>
    <w:p w14:paraId="25AA1871">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sz w:val="24"/>
          <w:szCs w:val="24"/>
        </w:rPr>
      </w:pPr>
      <w:r>
        <w:rPr>
          <w:rFonts w:hint="eastAsia" w:ascii="宋体" w:hAnsi="宋体" w:cs="宋体"/>
          <w:sz w:val="24"/>
          <w:szCs w:val="24"/>
        </w:rPr>
        <w:t>1）GB/T778  《饮用冷水水表和热水水表》</w:t>
      </w:r>
    </w:p>
    <w:p w14:paraId="5C4347F2">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sz w:val="24"/>
          <w:szCs w:val="24"/>
        </w:rPr>
      </w:pPr>
      <w:r>
        <w:rPr>
          <w:rFonts w:hint="eastAsia" w:ascii="宋体" w:hAnsi="宋体" w:cs="宋体"/>
          <w:sz w:val="24"/>
          <w:szCs w:val="24"/>
        </w:rPr>
        <w:t>2）JJG162</w:t>
      </w:r>
      <w:r>
        <w:rPr>
          <w:rFonts w:hint="eastAsia" w:ascii="宋体" w:hAnsi="宋体" w:cs="宋体"/>
          <w:sz w:val="24"/>
          <w:szCs w:val="24"/>
          <w:lang w:val="en-US" w:eastAsia="zh-CN"/>
        </w:rPr>
        <w:t xml:space="preserve">   </w:t>
      </w:r>
      <w:r>
        <w:rPr>
          <w:rFonts w:hint="eastAsia" w:ascii="宋体" w:hAnsi="宋体" w:cs="宋体"/>
          <w:sz w:val="24"/>
          <w:szCs w:val="24"/>
        </w:rPr>
        <w:t>《冷水水表》</w:t>
      </w:r>
    </w:p>
    <w:p w14:paraId="5751963E">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sz w:val="24"/>
          <w:szCs w:val="24"/>
        </w:rPr>
      </w:pPr>
      <w:r>
        <w:rPr>
          <w:rFonts w:hint="eastAsia" w:ascii="宋体" w:hAnsi="宋体" w:cs="宋体"/>
          <w:sz w:val="24"/>
          <w:szCs w:val="24"/>
        </w:rPr>
        <w:t>4) CJ/T224  《电子远传水表》</w:t>
      </w:r>
    </w:p>
    <w:p w14:paraId="63A3122D">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sz w:val="24"/>
          <w:szCs w:val="24"/>
        </w:rPr>
      </w:pPr>
      <w:r>
        <w:rPr>
          <w:rFonts w:hint="eastAsia" w:ascii="宋体" w:hAnsi="宋体" w:cs="宋体"/>
          <w:sz w:val="24"/>
          <w:szCs w:val="24"/>
        </w:rPr>
        <w:t>5）CMA/WM778《小口径饮用水冷水表表壳技术规范》</w:t>
      </w:r>
    </w:p>
    <w:p w14:paraId="40F535A7">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hint="eastAsia" w:ascii="宋体" w:hAnsi="宋体" w:cs="宋体"/>
          <w:sz w:val="24"/>
          <w:szCs w:val="24"/>
        </w:rPr>
      </w:pPr>
      <w:r>
        <w:rPr>
          <w:rFonts w:hint="eastAsia" w:ascii="宋体" w:hAnsi="宋体" w:cs="宋体"/>
          <w:sz w:val="24"/>
          <w:szCs w:val="24"/>
        </w:rPr>
        <w:t>6）JG/T162  《住宅远传抄表系统》</w:t>
      </w:r>
    </w:p>
    <w:p w14:paraId="333BAB63">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hint="eastAsia" w:ascii="宋体" w:hAnsi="宋体" w:cs="宋体"/>
          <w:sz w:val="24"/>
          <w:szCs w:val="24"/>
          <w:lang w:val="en-US" w:eastAsia="zh-CN"/>
        </w:rPr>
      </w:pPr>
      <w:r>
        <w:rPr>
          <w:rFonts w:hint="eastAsia" w:ascii="宋体" w:hAnsi="宋体" w:cs="宋体"/>
          <w:sz w:val="24"/>
          <w:szCs w:val="24"/>
          <w:lang w:val="en-US" w:eastAsia="zh-CN"/>
        </w:rPr>
        <w:t>7）CJ266    《饮用水冷水水表安全规则》</w:t>
      </w:r>
    </w:p>
    <w:p w14:paraId="5F74AA57">
      <w:pPr>
        <w:keepNext w:val="0"/>
        <w:keepLines w:val="0"/>
        <w:pageBreakBefore w:val="0"/>
        <w:widowControl w:val="0"/>
        <w:kinsoku/>
        <w:wordWrap/>
        <w:overflowPunct/>
        <w:topLinePunct w:val="0"/>
        <w:autoSpaceDE/>
        <w:autoSpaceDN/>
        <w:bidi w:val="0"/>
        <w:adjustRightInd/>
        <w:snapToGrid/>
        <w:spacing w:line="440" w:lineRule="exact"/>
        <w:ind w:firstLine="200"/>
        <w:textAlignment w:val="auto"/>
        <w:rPr>
          <w:rFonts w:ascii="宋体" w:hAnsi="宋体" w:cs="宋体"/>
          <w:b/>
          <w:sz w:val="24"/>
          <w:szCs w:val="24"/>
        </w:rPr>
      </w:pPr>
      <w:r>
        <w:rPr>
          <w:rFonts w:hint="eastAsia" w:ascii="宋体" w:hAnsi="宋体" w:cs="宋体"/>
          <w:b/>
          <w:sz w:val="24"/>
          <w:szCs w:val="24"/>
          <w:lang w:val="en-US" w:eastAsia="zh-CN"/>
        </w:rPr>
        <w:t xml:space="preserve">1.2 </w:t>
      </w:r>
      <w:r>
        <w:rPr>
          <w:rFonts w:hint="eastAsia" w:ascii="宋体" w:hAnsi="宋体" w:cs="宋体"/>
          <w:b/>
          <w:sz w:val="24"/>
          <w:szCs w:val="24"/>
        </w:rPr>
        <w:t>水表基表要求</w:t>
      </w:r>
    </w:p>
    <w:p w14:paraId="52660918">
      <w:pPr>
        <w:keepNext w:val="0"/>
        <w:keepLines w:val="0"/>
        <w:pageBreakBefore w:val="0"/>
        <w:widowControl w:val="0"/>
        <w:kinsoku/>
        <w:wordWrap/>
        <w:overflowPunct/>
        <w:topLinePunct w:val="0"/>
        <w:autoSpaceDE/>
        <w:autoSpaceDN/>
        <w:bidi w:val="0"/>
        <w:adjustRightInd/>
        <w:snapToGrid/>
        <w:spacing w:line="440" w:lineRule="exact"/>
        <w:ind w:firstLine="708" w:firstLineChars="295"/>
        <w:textAlignment w:val="auto"/>
        <w:rPr>
          <w:rFonts w:ascii="宋体" w:hAnsi="宋体" w:cs="宋体"/>
          <w:sz w:val="24"/>
          <w:szCs w:val="24"/>
        </w:rPr>
      </w:pPr>
      <w:r>
        <w:rPr>
          <w:rFonts w:hint="eastAsia" w:ascii="宋体" w:hAnsi="宋体" w:cs="宋体"/>
          <w:sz w:val="24"/>
          <w:szCs w:val="24"/>
        </w:rPr>
        <w:t>2.1流量参数：</w:t>
      </w:r>
    </w:p>
    <w:p w14:paraId="51C4EE44">
      <w:pPr>
        <w:spacing w:line="312" w:lineRule="auto"/>
        <w:ind w:firstLine="3720" w:firstLineChars="1550"/>
        <w:rPr>
          <w:rFonts w:hint="eastAsia" w:ascii="宋体" w:hAnsi="宋体" w:cs="宋体"/>
          <w:sz w:val="24"/>
          <w:szCs w:val="24"/>
        </w:rPr>
      </w:pPr>
      <w:r>
        <w:rPr>
          <w:rFonts w:hint="eastAsia" w:ascii="宋体" w:hAnsi="宋体" w:cs="宋体"/>
          <w:sz w:val="24"/>
          <w:szCs w:val="24"/>
        </w:rPr>
        <w:t>表1 基表流量参数</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620"/>
        <w:gridCol w:w="1502"/>
        <w:gridCol w:w="1609"/>
        <w:gridCol w:w="1611"/>
      </w:tblGrid>
      <w:tr w14:paraId="745AA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dxa"/>
            <w:noWrap w:val="0"/>
            <w:vAlign w:val="center"/>
          </w:tcPr>
          <w:p w14:paraId="49D0A812">
            <w:pPr>
              <w:spacing w:line="312" w:lineRule="auto"/>
              <w:ind w:firstLine="200"/>
              <w:jc w:val="center"/>
              <w:rPr>
                <w:rFonts w:ascii="宋体" w:hAnsi="宋体" w:cs="宋体"/>
                <w:sz w:val="24"/>
                <w:szCs w:val="24"/>
              </w:rPr>
            </w:pPr>
            <w:r>
              <w:rPr>
                <w:rFonts w:hint="eastAsia" w:ascii="宋体" w:hAnsi="宋体" w:cs="宋体"/>
                <w:sz w:val="24"/>
                <w:szCs w:val="24"/>
              </w:rPr>
              <w:t>口径</w:t>
            </w:r>
          </w:p>
          <w:p w14:paraId="558C357E">
            <w:pPr>
              <w:spacing w:line="312" w:lineRule="auto"/>
              <w:ind w:firstLine="200"/>
              <w:jc w:val="center"/>
              <w:rPr>
                <w:rFonts w:ascii="宋体" w:hAnsi="宋体" w:cs="宋体"/>
                <w:sz w:val="24"/>
                <w:szCs w:val="24"/>
              </w:rPr>
            </w:pPr>
            <w:r>
              <w:rPr>
                <w:rFonts w:hint="eastAsia" w:ascii="宋体" w:hAnsi="宋体" w:cs="宋体"/>
                <w:sz w:val="24"/>
                <w:szCs w:val="24"/>
              </w:rPr>
              <w:t>（mm）</w:t>
            </w:r>
          </w:p>
        </w:tc>
        <w:tc>
          <w:tcPr>
            <w:tcW w:w="1620" w:type="dxa"/>
            <w:noWrap w:val="0"/>
            <w:vAlign w:val="center"/>
          </w:tcPr>
          <w:p w14:paraId="0CE4143E">
            <w:pPr>
              <w:spacing w:line="312" w:lineRule="auto"/>
              <w:ind w:firstLine="200"/>
              <w:jc w:val="center"/>
              <w:rPr>
                <w:rFonts w:ascii="宋体" w:hAnsi="宋体" w:cs="宋体"/>
                <w:sz w:val="24"/>
                <w:szCs w:val="24"/>
              </w:rPr>
            </w:pPr>
            <w:r>
              <w:rPr>
                <w:rFonts w:hint="eastAsia" w:ascii="宋体" w:hAnsi="宋体" w:cs="宋体"/>
                <w:sz w:val="24"/>
                <w:szCs w:val="24"/>
              </w:rPr>
              <w:t>常用流量</w:t>
            </w:r>
            <w:r>
              <w:rPr>
                <w:rFonts w:hint="eastAsia" w:ascii="宋体" w:hAnsi="宋体" w:cs="宋体"/>
                <w:position w:val="-20"/>
                <w:sz w:val="24"/>
                <w:szCs w:val="24"/>
              </w:rPr>
              <w:object>
                <v:shape id="_x0000_i1025" o:spt="75" type="#_x0000_t75" style="height:26.4pt;width:63.6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p>
        </w:tc>
        <w:tc>
          <w:tcPr>
            <w:tcW w:w="1502" w:type="dxa"/>
            <w:noWrap w:val="0"/>
            <w:vAlign w:val="center"/>
          </w:tcPr>
          <w:p w14:paraId="0C5D79FE">
            <w:pPr>
              <w:spacing w:line="312" w:lineRule="auto"/>
              <w:ind w:firstLine="200"/>
              <w:jc w:val="center"/>
              <w:rPr>
                <w:rFonts w:ascii="宋体" w:hAnsi="宋体" w:cs="宋体"/>
                <w:sz w:val="24"/>
                <w:szCs w:val="24"/>
              </w:rPr>
            </w:pPr>
            <w:r>
              <w:rPr>
                <w:rFonts w:hint="eastAsia" w:ascii="宋体" w:hAnsi="宋体" w:cs="宋体"/>
                <w:position w:val="-26"/>
                <w:sz w:val="24"/>
                <w:szCs w:val="24"/>
              </w:rPr>
              <w:object>
                <v:shape id="_x0000_i1026" o:spt="75" type="#_x0000_t75" style="height:32.4pt;width:25.8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p>
        </w:tc>
        <w:tc>
          <w:tcPr>
            <w:tcW w:w="1609" w:type="dxa"/>
            <w:noWrap w:val="0"/>
            <w:vAlign w:val="center"/>
          </w:tcPr>
          <w:p w14:paraId="2BA4A661">
            <w:pPr>
              <w:spacing w:line="312" w:lineRule="auto"/>
              <w:ind w:firstLine="200"/>
              <w:jc w:val="center"/>
              <w:rPr>
                <w:rFonts w:ascii="宋体" w:hAnsi="宋体" w:cs="宋体"/>
                <w:sz w:val="24"/>
                <w:szCs w:val="24"/>
              </w:rPr>
            </w:pPr>
            <w:r>
              <w:rPr>
                <w:rFonts w:hint="eastAsia" w:ascii="宋体" w:hAnsi="宋体" w:cs="宋体"/>
                <w:position w:val="-26"/>
                <w:sz w:val="24"/>
                <w:szCs w:val="24"/>
              </w:rPr>
              <w:object>
                <v:shape id="_x0000_i1027" o:spt="75" type="#_x0000_t75" style="height:32.4pt;width:29.4pt;" o:ole="t" filled="f" o:preferrelative="t" stroked="f" coordsize="21600,21600">
                  <v:path/>
                  <v:fill on="f" focussize="0,0"/>
                  <v:stroke on="f" joinstyle="miter"/>
                  <v:imagedata r:id="rId10" o:title=""/>
                  <o:lock v:ext="edit" aspectratio="t"/>
                  <w10:wrap type="none"/>
                  <w10:anchorlock/>
                </v:shape>
                <o:OLEObject Type="Embed" ProgID="Equation.3" ShapeID="_x0000_i1027" DrawAspect="Content" ObjectID="_1468075727" r:id="rId9">
                  <o:LockedField>false</o:LockedField>
                </o:OLEObject>
              </w:object>
            </w:r>
          </w:p>
        </w:tc>
        <w:tc>
          <w:tcPr>
            <w:tcW w:w="1611" w:type="dxa"/>
            <w:noWrap w:val="0"/>
            <w:vAlign w:val="center"/>
          </w:tcPr>
          <w:p w14:paraId="71323AA5">
            <w:pPr>
              <w:spacing w:line="312" w:lineRule="auto"/>
              <w:ind w:firstLine="200"/>
              <w:jc w:val="center"/>
              <w:rPr>
                <w:rFonts w:ascii="宋体" w:hAnsi="宋体" w:cs="宋体"/>
                <w:sz w:val="24"/>
                <w:szCs w:val="24"/>
              </w:rPr>
            </w:pPr>
            <w:r>
              <w:rPr>
                <w:rFonts w:hint="eastAsia" w:ascii="宋体" w:hAnsi="宋体" w:cs="宋体"/>
                <w:position w:val="-26"/>
                <w:sz w:val="24"/>
                <w:szCs w:val="24"/>
              </w:rPr>
              <w:object>
                <v:shape id="_x0000_i1028" o:spt="75" type="#_x0000_t75" style="height:32.4pt;width:25.8pt;" o:ole="t" filled="f" o:preferrelative="t" stroked="f" coordsize="21600,21600">
                  <v:path/>
                  <v:fill on="f" focussize="0,0"/>
                  <v:stroke on="f" joinstyle="miter"/>
                  <v:imagedata r:id="rId12" o:title=""/>
                  <o:lock v:ext="edit" aspectratio="t"/>
                  <w10:wrap type="none"/>
                  <w10:anchorlock/>
                </v:shape>
                <o:OLEObject Type="Embed" ProgID="Equation.3" ShapeID="_x0000_i1028" DrawAspect="Content" ObjectID="_1468075728" r:id="rId11">
                  <o:LockedField>false</o:LockedField>
                </o:OLEObject>
              </w:object>
            </w:r>
          </w:p>
        </w:tc>
      </w:tr>
      <w:tr w14:paraId="05389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0" w:type="dxa"/>
            <w:noWrap w:val="0"/>
            <w:vAlign w:val="center"/>
          </w:tcPr>
          <w:p w14:paraId="485C88F4">
            <w:pPr>
              <w:spacing w:line="312" w:lineRule="auto"/>
              <w:ind w:firstLine="200"/>
              <w:jc w:val="center"/>
              <w:rPr>
                <w:rFonts w:ascii="宋体" w:hAnsi="宋体" w:cs="宋体"/>
                <w:sz w:val="24"/>
                <w:szCs w:val="24"/>
              </w:rPr>
            </w:pPr>
            <w:r>
              <w:rPr>
                <w:rFonts w:hint="eastAsia" w:ascii="宋体" w:hAnsi="宋体" w:cs="宋体"/>
                <w:kern w:val="0"/>
                <w:sz w:val="24"/>
                <w:szCs w:val="24"/>
              </w:rPr>
              <w:t>DN</w:t>
            </w:r>
            <w:r>
              <w:rPr>
                <w:rFonts w:hint="eastAsia" w:ascii="宋体" w:hAnsi="宋体" w:cs="宋体"/>
                <w:sz w:val="24"/>
                <w:szCs w:val="24"/>
              </w:rPr>
              <w:t>15</w:t>
            </w:r>
          </w:p>
        </w:tc>
        <w:tc>
          <w:tcPr>
            <w:tcW w:w="1620" w:type="dxa"/>
            <w:noWrap w:val="0"/>
            <w:vAlign w:val="center"/>
          </w:tcPr>
          <w:p w14:paraId="6CE0F5D9">
            <w:pPr>
              <w:spacing w:line="312" w:lineRule="auto"/>
              <w:ind w:firstLine="200"/>
              <w:jc w:val="center"/>
              <w:rPr>
                <w:rFonts w:ascii="宋体" w:hAnsi="宋体" w:cs="宋体"/>
                <w:sz w:val="24"/>
                <w:szCs w:val="24"/>
              </w:rPr>
            </w:pPr>
            <w:r>
              <w:rPr>
                <w:rFonts w:hint="eastAsia" w:ascii="宋体" w:hAnsi="宋体" w:cs="宋体"/>
                <w:sz w:val="24"/>
                <w:szCs w:val="24"/>
              </w:rPr>
              <w:t>2.5</w:t>
            </w:r>
          </w:p>
        </w:tc>
        <w:tc>
          <w:tcPr>
            <w:tcW w:w="1502" w:type="dxa"/>
            <w:noWrap w:val="0"/>
            <w:vAlign w:val="center"/>
          </w:tcPr>
          <w:p w14:paraId="7384CB20">
            <w:pPr>
              <w:spacing w:line="312" w:lineRule="auto"/>
              <w:ind w:firstLine="200"/>
              <w:jc w:val="center"/>
              <w:rPr>
                <w:rFonts w:ascii="宋体" w:hAnsi="宋体" w:cs="宋体"/>
                <w:sz w:val="24"/>
                <w:szCs w:val="24"/>
              </w:rPr>
            </w:pPr>
            <w:r>
              <w:rPr>
                <w:rFonts w:hint="eastAsia" w:ascii="宋体" w:hAnsi="宋体" w:cs="宋体"/>
                <w:sz w:val="24"/>
                <w:szCs w:val="24"/>
              </w:rPr>
              <w:t>100</w:t>
            </w:r>
          </w:p>
        </w:tc>
        <w:tc>
          <w:tcPr>
            <w:tcW w:w="1609" w:type="dxa"/>
            <w:noWrap w:val="0"/>
            <w:vAlign w:val="center"/>
          </w:tcPr>
          <w:p w14:paraId="2FAA0D1C">
            <w:pPr>
              <w:spacing w:line="312" w:lineRule="auto"/>
              <w:ind w:firstLine="200"/>
              <w:jc w:val="center"/>
              <w:rPr>
                <w:rFonts w:ascii="宋体" w:hAnsi="宋体" w:cs="宋体"/>
                <w:sz w:val="24"/>
                <w:szCs w:val="24"/>
              </w:rPr>
            </w:pPr>
            <w:r>
              <w:rPr>
                <w:rFonts w:hint="eastAsia" w:ascii="宋体" w:hAnsi="宋体" w:cs="宋体"/>
                <w:sz w:val="24"/>
                <w:szCs w:val="24"/>
              </w:rPr>
              <w:t>1.25</w:t>
            </w:r>
          </w:p>
        </w:tc>
        <w:tc>
          <w:tcPr>
            <w:tcW w:w="1611" w:type="dxa"/>
            <w:noWrap w:val="0"/>
            <w:vAlign w:val="center"/>
          </w:tcPr>
          <w:p w14:paraId="108D8674">
            <w:pPr>
              <w:spacing w:line="312" w:lineRule="auto"/>
              <w:ind w:firstLine="200"/>
              <w:jc w:val="center"/>
              <w:rPr>
                <w:rFonts w:ascii="宋体" w:hAnsi="宋体" w:cs="宋体"/>
                <w:sz w:val="24"/>
                <w:szCs w:val="24"/>
              </w:rPr>
            </w:pPr>
            <w:r>
              <w:rPr>
                <w:rFonts w:hint="eastAsia" w:ascii="宋体" w:hAnsi="宋体" w:cs="宋体"/>
                <w:sz w:val="24"/>
                <w:szCs w:val="24"/>
              </w:rPr>
              <w:t>1.6</w:t>
            </w:r>
          </w:p>
        </w:tc>
      </w:tr>
    </w:tbl>
    <w:p w14:paraId="55ABD2B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szCs w:val="24"/>
        </w:rPr>
      </w:pPr>
      <w:r>
        <w:rPr>
          <w:rFonts w:hint="eastAsia" w:ascii="宋体" w:hAnsi="宋体" w:cs="宋体"/>
          <w:sz w:val="24"/>
          <w:szCs w:val="24"/>
        </w:rPr>
        <w:t>1.2.2准确度等级：准确度等级2级及以上，应符合</w:t>
      </w:r>
      <w:r>
        <w:rPr>
          <w:rFonts w:hint="eastAsia" w:ascii="宋体" w:hAnsi="宋体" w:cs="宋体"/>
          <w:sz w:val="24"/>
          <w:szCs w:val="24"/>
          <w:lang w:val="en-US" w:eastAsia="zh-CN"/>
        </w:rPr>
        <w:t>检定规程</w:t>
      </w:r>
      <w:r>
        <w:rPr>
          <w:rFonts w:hint="eastAsia" w:ascii="宋体" w:hAnsi="宋体" w:cs="宋体"/>
          <w:sz w:val="24"/>
          <w:szCs w:val="24"/>
        </w:rPr>
        <w:t>JJG162《冷水水表》2级水表的要求：</w:t>
      </w:r>
    </w:p>
    <w:p w14:paraId="6E4A7362">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cs="宋体"/>
          <w:sz w:val="24"/>
          <w:szCs w:val="24"/>
        </w:rPr>
      </w:pPr>
      <w:r>
        <w:rPr>
          <w:rFonts w:hint="eastAsia" w:ascii="宋体" w:hAnsi="宋体" w:cs="宋体"/>
          <w:sz w:val="24"/>
          <w:szCs w:val="24"/>
        </w:rPr>
        <w:t>Q1～Q2(不包括Q2)的低区误差≤±5.0%；</w:t>
      </w:r>
    </w:p>
    <w:p w14:paraId="6E20912E">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ascii="宋体" w:hAnsi="宋体" w:cs="宋体"/>
          <w:sz w:val="24"/>
          <w:szCs w:val="24"/>
        </w:rPr>
      </w:pPr>
      <w:r>
        <w:rPr>
          <w:rFonts w:hint="eastAsia" w:ascii="宋体" w:hAnsi="宋体" w:cs="宋体"/>
          <w:sz w:val="24"/>
          <w:szCs w:val="24"/>
        </w:rPr>
        <w:t>Q2（包括Q2) ～ Q4的高区误差≤±2.0%。</w:t>
      </w:r>
    </w:p>
    <w:p w14:paraId="6C96C6C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rPr>
        <w:t>1.</w:t>
      </w:r>
      <w:r>
        <w:rPr>
          <w:rFonts w:hint="eastAsia" w:ascii="宋体" w:hAnsi="宋体" w:cs="宋体"/>
          <w:sz w:val="24"/>
          <w:szCs w:val="24"/>
          <w:highlight w:val="none"/>
        </w:rPr>
        <w:t>2.3压力等级：≥1.</w:t>
      </w:r>
      <w:r>
        <w:rPr>
          <w:rFonts w:hint="eastAsia" w:ascii="宋体" w:hAnsi="宋体" w:cs="宋体"/>
          <w:sz w:val="24"/>
          <w:szCs w:val="24"/>
          <w:highlight w:val="none"/>
          <w:lang w:val="en-US" w:eastAsia="zh-CN"/>
        </w:rPr>
        <w:t>0</w:t>
      </w:r>
      <w:r>
        <w:rPr>
          <w:rFonts w:hint="eastAsia" w:ascii="宋体" w:hAnsi="宋体" w:cs="宋体"/>
          <w:sz w:val="24"/>
          <w:szCs w:val="24"/>
          <w:highlight w:val="none"/>
        </w:rPr>
        <w:t>MPa</w:t>
      </w:r>
    </w:p>
    <w:p w14:paraId="561F7864">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水表承受最大允许工作压力的1.6倍并保持15min；</w:t>
      </w:r>
    </w:p>
    <w:p w14:paraId="18C0B696">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承受最大允许工作压力的2倍并保持1min。</w:t>
      </w:r>
    </w:p>
    <w:p w14:paraId="0D18AE0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color w:val="000000"/>
          <w:sz w:val="24"/>
          <w:szCs w:val="24"/>
          <w:highlight w:val="none"/>
        </w:rPr>
      </w:pPr>
      <w:r>
        <w:rPr>
          <w:rFonts w:hint="eastAsia" w:ascii="宋体" w:hAnsi="宋体" w:cs="宋体"/>
          <w:sz w:val="24"/>
          <w:szCs w:val="24"/>
        </w:rPr>
        <w:t>1.</w:t>
      </w:r>
      <w:r>
        <w:rPr>
          <w:rFonts w:hint="eastAsia" w:ascii="宋体" w:hAnsi="宋体" w:cs="宋体"/>
          <w:color w:val="000000"/>
          <w:sz w:val="24"/>
          <w:szCs w:val="24"/>
          <w:highlight w:val="none"/>
        </w:rPr>
        <w:t>2.4防护等级：IP68，（需分别</w:t>
      </w:r>
      <w:r>
        <w:rPr>
          <w:rFonts w:hint="eastAsia" w:ascii="宋体" w:hAnsi="宋体" w:cs="宋体"/>
          <w:color w:val="000000"/>
          <w:sz w:val="24"/>
          <w:szCs w:val="24"/>
          <w:highlight w:val="none"/>
          <w:lang w:val="en-US" w:eastAsia="zh-CN"/>
        </w:rPr>
        <w:t>整表和电子模块的</w:t>
      </w:r>
      <w:r>
        <w:rPr>
          <w:rFonts w:hint="eastAsia" w:ascii="宋体" w:hAnsi="宋体" w:cs="宋体"/>
          <w:color w:val="000000"/>
          <w:sz w:val="24"/>
          <w:szCs w:val="24"/>
          <w:highlight w:val="none"/>
        </w:rPr>
        <w:t>省级及以上监督检验机构出具的IP68检测报告</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提供复印件并加盖公章</w:t>
      </w:r>
      <w:r>
        <w:rPr>
          <w:rFonts w:hint="eastAsia" w:ascii="宋体" w:hAnsi="宋体" w:cs="宋体"/>
          <w:color w:val="000000"/>
          <w:sz w:val="24"/>
          <w:szCs w:val="24"/>
          <w:highlight w:val="none"/>
        </w:rPr>
        <w:t>）。</w:t>
      </w:r>
    </w:p>
    <w:p w14:paraId="745036D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sz w:val="24"/>
          <w:szCs w:val="24"/>
        </w:rPr>
      </w:pPr>
      <w:r>
        <w:rPr>
          <w:rFonts w:hint="eastAsia" w:ascii="宋体" w:hAnsi="宋体" w:cs="宋体"/>
          <w:sz w:val="24"/>
          <w:szCs w:val="24"/>
        </w:rPr>
        <w:t>1.2.5水表尺寸（含电子设备）：</w:t>
      </w:r>
    </w:p>
    <w:p w14:paraId="207B848A">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表2 水表尺寸</w:t>
      </w:r>
    </w:p>
    <w:tbl>
      <w:tblPr>
        <w:tblStyle w:val="17"/>
        <w:tblpPr w:leftFromText="45" w:rightFromText="45" w:vertAnchor="text" w:horzAnchor="page" w:tblpX="2844" w:tblpY="116"/>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80"/>
        <w:gridCol w:w="2108"/>
        <w:gridCol w:w="2284"/>
      </w:tblGrid>
      <w:tr w14:paraId="419C2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blCellSpacing w:w="0" w:type="dxa"/>
        </w:trPr>
        <w:tc>
          <w:tcPr>
            <w:tcW w:w="2580" w:type="dxa"/>
            <w:tcBorders>
              <w:top w:val="single" w:color="auto" w:sz="4" w:space="0"/>
              <w:left w:val="single" w:color="auto" w:sz="4" w:space="0"/>
              <w:bottom w:val="single" w:color="auto" w:sz="4" w:space="0"/>
              <w:right w:val="single" w:color="auto" w:sz="4" w:space="0"/>
            </w:tcBorders>
            <w:noWrap w:val="0"/>
            <w:vAlign w:val="center"/>
          </w:tcPr>
          <w:p w14:paraId="604543B3">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口径（mm）</w:t>
            </w:r>
          </w:p>
        </w:tc>
        <w:tc>
          <w:tcPr>
            <w:tcW w:w="2108" w:type="dxa"/>
            <w:tcBorders>
              <w:top w:val="single" w:color="auto" w:sz="4" w:space="0"/>
              <w:left w:val="single" w:color="auto" w:sz="4" w:space="0"/>
              <w:bottom w:val="single" w:color="auto" w:sz="4" w:space="0"/>
              <w:right w:val="single" w:color="auto" w:sz="4" w:space="0"/>
            </w:tcBorders>
            <w:noWrap w:val="0"/>
            <w:vAlign w:val="center"/>
          </w:tcPr>
          <w:p w14:paraId="673ADF97">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长（mm）</w:t>
            </w:r>
          </w:p>
        </w:tc>
        <w:tc>
          <w:tcPr>
            <w:tcW w:w="2284" w:type="dxa"/>
            <w:tcBorders>
              <w:top w:val="single" w:color="auto" w:sz="4" w:space="0"/>
              <w:left w:val="single" w:color="auto" w:sz="4" w:space="0"/>
              <w:bottom w:val="single" w:color="auto" w:sz="4" w:space="0"/>
              <w:right w:val="single" w:color="auto" w:sz="4" w:space="0"/>
            </w:tcBorders>
            <w:noWrap w:val="0"/>
            <w:vAlign w:val="center"/>
          </w:tcPr>
          <w:p w14:paraId="79B37D5A">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宽（mm）</w:t>
            </w:r>
          </w:p>
        </w:tc>
      </w:tr>
      <w:tr w14:paraId="694C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trPr>
        <w:tc>
          <w:tcPr>
            <w:tcW w:w="2580" w:type="dxa"/>
            <w:tcBorders>
              <w:top w:val="single" w:color="auto" w:sz="4" w:space="0"/>
              <w:left w:val="single" w:color="auto" w:sz="4" w:space="0"/>
              <w:bottom w:val="single" w:color="auto" w:sz="4" w:space="0"/>
              <w:right w:val="single" w:color="auto" w:sz="4" w:space="0"/>
            </w:tcBorders>
            <w:noWrap w:val="0"/>
            <w:vAlign w:val="center"/>
          </w:tcPr>
          <w:p w14:paraId="3AC9234B">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15</w:t>
            </w:r>
          </w:p>
        </w:tc>
        <w:tc>
          <w:tcPr>
            <w:tcW w:w="2108" w:type="dxa"/>
            <w:tcBorders>
              <w:top w:val="single" w:color="auto" w:sz="4" w:space="0"/>
              <w:left w:val="single" w:color="auto" w:sz="4" w:space="0"/>
              <w:bottom w:val="single" w:color="auto" w:sz="4" w:space="0"/>
              <w:right w:val="single" w:color="auto" w:sz="4" w:space="0"/>
            </w:tcBorders>
            <w:noWrap w:val="0"/>
            <w:vAlign w:val="center"/>
          </w:tcPr>
          <w:p w14:paraId="0A0F0925">
            <w:pPr>
              <w:spacing w:line="312" w:lineRule="auto"/>
              <w:ind w:firstLine="200"/>
              <w:jc w:val="center"/>
              <w:rPr>
                <w:rFonts w:ascii="宋体" w:hAnsi="宋体" w:cs="宋体"/>
                <w:sz w:val="24"/>
                <w:szCs w:val="24"/>
                <w:highlight w:val="none"/>
              </w:rPr>
            </w:pPr>
            <w:r>
              <w:rPr>
                <w:rFonts w:hint="eastAsia" w:ascii="宋体" w:hAnsi="宋体" w:cs="宋体"/>
                <w:sz w:val="24"/>
                <w:szCs w:val="24"/>
                <w:highlight w:val="none"/>
              </w:rPr>
              <w:t>165</w:t>
            </w:r>
          </w:p>
        </w:tc>
        <w:tc>
          <w:tcPr>
            <w:tcW w:w="2284" w:type="dxa"/>
            <w:tcBorders>
              <w:top w:val="single" w:color="auto" w:sz="4" w:space="0"/>
              <w:left w:val="single" w:color="auto" w:sz="4" w:space="0"/>
              <w:bottom w:val="single" w:color="auto" w:sz="4" w:space="0"/>
              <w:right w:val="single" w:color="auto" w:sz="4" w:space="0"/>
            </w:tcBorders>
            <w:noWrap w:val="0"/>
            <w:vAlign w:val="center"/>
          </w:tcPr>
          <w:p w14:paraId="20D6D928">
            <w:pPr>
              <w:spacing w:line="312" w:lineRule="auto"/>
              <w:ind w:firstLine="20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110</w:t>
            </w:r>
          </w:p>
        </w:tc>
      </w:tr>
    </w:tbl>
    <w:p w14:paraId="30751AA8">
      <w:pPr>
        <w:spacing w:line="312" w:lineRule="auto"/>
        <w:ind w:firstLine="200"/>
        <w:rPr>
          <w:rFonts w:hint="eastAsia" w:ascii="宋体" w:hAnsi="宋体" w:cs="宋体"/>
          <w:sz w:val="24"/>
          <w:szCs w:val="24"/>
          <w:highlight w:val="none"/>
          <w:shd w:val="clear" w:color="auto" w:fill="FFFFFF"/>
        </w:rPr>
      </w:pPr>
    </w:p>
    <w:p w14:paraId="56E46C0A">
      <w:pPr>
        <w:spacing w:line="312" w:lineRule="auto"/>
        <w:ind w:firstLine="200"/>
        <w:rPr>
          <w:rFonts w:hint="eastAsia" w:ascii="宋体" w:hAnsi="宋体" w:cs="宋体"/>
          <w:sz w:val="24"/>
          <w:szCs w:val="24"/>
          <w:highlight w:val="none"/>
          <w:shd w:val="clear" w:color="auto" w:fill="FFFFFF"/>
        </w:rPr>
      </w:pPr>
    </w:p>
    <w:p w14:paraId="4BB36CF0">
      <w:pPr>
        <w:spacing w:line="312" w:lineRule="auto"/>
        <w:ind w:firstLine="200"/>
        <w:rPr>
          <w:rFonts w:hint="eastAsia" w:ascii="宋体" w:hAnsi="宋体" w:cs="宋体"/>
          <w:sz w:val="24"/>
          <w:szCs w:val="24"/>
          <w:highlight w:val="none"/>
          <w:shd w:val="clear" w:color="auto" w:fill="FFFFFF"/>
        </w:rPr>
      </w:pPr>
    </w:p>
    <w:p w14:paraId="5EF6236E">
      <w:pPr>
        <w:keepNext w:val="0"/>
        <w:keepLines w:val="0"/>
        <w:pageBreakBefore w:val="0"/>
        <w:kinsoku/>
        <w:wordWrap/>
        <w:overflowPunct/>
        <w:topLinePunct w:val="0"/>
        <w:bidi w:val="0"/>
        <w:spacing w:line="440" w:lineRule="exact"/>
        <w:ind w:firstLine="468" w:firstLineChars="195"/>
        <w:rPr>
          <w:rFonts w:ascii="宋体" w:hAnsi="宋体" w:cs="宋体"/>
          <w:sz w:val="24"/>
          <w:szCs w:val="24"/>
          <w:highlight w:val="none"/>
        </w:rPr>
      </w:pPr>
      <w:r>
        <w:rPr>
          <w:rFonts w:hint="eastAsia" w:ascii="宋体" w:hAnsi="宋体" w:cs="宋体"/>
          <w:sz w:val="24"/>
          <w:szCs w:val="24"/>
        </w:rPr>
        <w:t>1.</w:t>
      </w:r>
      <w:r>
        <w:rPr>
          <w:rFonts w:hint="eastAsia" w:ascii="宋体" w:hAnsi="宋体" w:cs="宋体"/>
          <w:sz w:val="24"/>
          <w:szCs w:val="24"/>
          <w:highlight w:val="none"/>
          <w:shd w:val="clear" w:color="auto" w:fill="FFFFFF"/>
        </w:rPr>
        <w:t>2.6连接件：</w:t>
      </w:r>
      <w:r>
        <w:rPr>
          <w:rFonts w:hint="eastAsia" w:ascii="宋体" w:hAnsi="宋体" w:cs="宋体"/>
          <w:sz w:val="24"/>
          <w:szCs w:val="24"/>
          <w:highlight w:val="none"/>
        </w:rPr>
        <w:t>须采用、国标铸造铅黄铜。</w:t>
      </w:r>
    </w:p>
    <w:p w14:paraId="529FD206">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1.2.7计数器：数字外观高度≥4mm，宽度≥2mm，度盘长期清晰。</w:t>
      </w:r>
    </w:p>
    <w:p w14:paraId="19EF318A">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1.2.8 机械字轮位数：指示到m³的位数</w:t>
      </w:r>
      <w:r>
        <w:rPr>
          <w:rFonts w:hint="eastAsia" w:ascii="宋体" w:hAnsi="宋体" w:cs="宋体"/>
          <w:sz w:val="24"/>
          <w:szCs w:val="24"/>
          <w:lang w:val="en-US" w:eastAsia="zh-CN"/>
        </w:rPr>
        <w:t>至少</w:t>
      </w:r>
      <w:r>
        <w:rPr>
          <w:rFonts w:hint="eastAsia" w:ascii="宋体" w:hAnsi="宋体" w:cs="宋体"/>
          <w:sz w:val="24"/>
          <w:szCs w:val="24"/>
        </w:rPr>
        <w:t>为5位，即满行度99999m³。</w:t>
      </w:r>
    </w:p>
    <w:p w14:paraId="03A30A2A">
      <w:pPr>
        <w:keepNext w:val="0"/>
        <w:keepLines w:val="0"/>
        <w:pageBreakBefore w:val="0"/>
        <w:kinsoku/>
        <w:wordWrap/>
        <w:overflowPunct/>
        <w:topLinePunct w:val="0"/>
        <w:bidi w:val="0"/>
        <w:spacing w:line="440" w:lineRule="exact"/>
        <w:ind w:firstLine="468" w:firstLineChars="195"/>
        <w:rPr>
          <w:rFonts w:hint="eastAsia" w:ascii="宋体" w:hAnsi="宋体" w:cs="宋体"/>
          <w:sz w:val="24"/>
          <w:szCs w:val="24"/>
        </w:rPr>
      </w:pPr>
      <w:r>
        <w:rPr>
          <w:rFonts w:hint="eastAsia" w:ascii="宋体" w:hAnsi="宋体" w:cs="宋体"/>
          <w:sz w:val="24"/>
          <w:szCs w:val="24"/>
        </w:rPr>
        <w:t>1.2.9水表预留铅封口，口径不小于2mm。</w:t>
      </w:r>
    </w:p>
    <w:p w14:paraId="31408807">
      <w:pPr>
        <w:pStyle w:val="15"/>
        <w:keepNext w:val="0"/>
        <w:keepLines w:val="0"/>
        <w:pageBreakBefore w:val="0"/>
        <w:tabs>
          <w:tab w:val="left" w:pos="0"/>
          <w:tab w:val="left" w:pos="993"/>
          <w:tab w:val="left" w:pos="1134"/>
        </w:tabs>
        <w:kinsoku/>
        <w:wordWrap/>
        <w:overflowPunct/>
        <w:topLinePunct w:val="0"/>
        <w:bidi w:val="0"/>
        <w:spacing w:after="0" w:line="440" w:lineRule="exact"/>
        <w:ind w:left="0" w:leftChars="0" w:firstLine="480" w:firstLineChars="200"/>
        <w:rPr>
          <w:rFonts w:hint="eastAsia" w:ascii="宋体" w:hAnsi="宋体" w:cs="宋体"/>
          <w:sz w:val="24"/>
          <w:szCs w:val="24"/>
          <w:highlight w:val="none"/>
          <w:lang w:val="en-US" w:eastAsia="zh-CN"/>
        </w:rPr>
      </w:pPr>
      <w:r>
        <w:rPr>
          <w:rFonts w:hint="eastAsia" w:ascii="宋体" w:hAnsi="宋体" w:cs="宋体"/>
          <w:sz w:val="24"/>
          <w:szCs w:val="24"/>
        </w:rPr>
        <w:t>1.</w:t>
      </w:r>
      <w:r>
        <w:rPr>
          <w:rFonts w:hint="eastAsia" w:ascii="宋体" w:hAnsi="宋体" w:cs="宋体"/>
          <w:sz w:val="24"/>
          <w:szCs w:val="24"/>
          <w:highlight w:val="none"/>
          <w:lang w:val="en-US" w:eastAsia="zh-CN"/>
        </w:rPr>
        <w:t>2.10水表材质：基表为铜材质，采用不锈钢阀球（所有口径符合《生活饮用水输配水设备及防护材料卫生安全评价规范》，提供省级疾控中心出具的疾控报告</w:t>
      </w:r>
      <w:r>
        <w:rPr>
          <w:rFonts w:hint="eastAsia" w:ascii="宋体" w:hAnsi="宋体" w:cs="宋体"/>
          <w:color w:val="000000"/>
          <w:sz w:val="24"/>
          <w:szCs w:val="24"/>
          <w:highlight w:val="none"/>
          <w:lang w:val="en-US" w:eastAsia="zh-CN"/>
        </w:rPr>
        <w:t>复印件并加盖公章</w:t>
      </w:r>
      <w:r>
        <w:rPr>
          <w:rFonts w:hint="eastAsia" w:ascii="宋体" w:hAnsi="宋体" w:cs="宋体"/>
          <w:sz w:val="24"/>
          <w:szCs w:val="24"/>
          <w:highlight w:val="none"/>
          <w:lang w:val="en-US" w:eastAsia="zh-CN"/>
        </w:rPr>
        <w:t>）。</w:t>
      </w:r>
    </w:p>
    <w:p w14:paraId="0643E8E5">
      <w:pPr>
        <w:keepNext w:val="0"/>
        <w:keepLines w:val="0"/>
        <w:pageBreakBefore w:val="0"/>
        <w:kinsoku/>
        <w:wordWrap/>
        <w:overflowPunct/>
        <w:topLinePunct w:val="0"/>
        <w:bidi w:val="0"/>
        <w:spacing w:line="440" w:lineRule="exact"/>
        <w:ind w:firstLine="482" w:firstLineChars="200"/>
        <w:rPr>
          <w:rFonts w:hint="default" w:ascii="宋体" w:hAnsi="宋体" w:cs="宋体"/>
          <w:b/>
          <w:sz w:val="24"/>
          <w:szCs w:val="24"/>
          <w:lang w:val="en-US" w:eastAsia="zh-CN"/>
        </w:rPr>
      </w:pPr>
      <w:r>
        <w:rPr>
          <w:rFonts w:hint="eastAsia" w:ascii="宋体" w:hAnsi="宋体" w:cs="宋体"/>
          <w:b/>
          <w:sz w:val="24"/>
          <w:szCs w:val="24"/>
          <w:lang w:val="en-US" w:eastAsia="zh-CN"/>
        </w:rPr>
        <w:t>1.3 NB-IoT水表技术要求</w:t>
      </w:r>
    </w:p>
    <w:p w14:paraId="558FA21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基表材质：采用铜材质基表，基表与电子部分分体式结构，可以快速单独进行更换。</w:t>
      </w:r>
    </w:p>
    <w:p w14:paraId="3A46B32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rPr>
        <w:t>表内所有接触水的零部件应采用无毒、无污染、无生物活性的材料。</w:t>
      </w:r>
    </w:p>
    <w:p w14:paraId="01BB7B2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rPr>
        <w:t>计数器工作环境：湿式。</w:t>
      </w:r>
    </w:p>
    <w:p w14:paraId="3DDF201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结构要求：应同时具有液晶显示和机械显示，同时具有触摸按键</w:t>
      </w:r>
      <w:r>
        <w:rPr>
          <w:rFonts w:hint="eastAsia" w:ascii="宋体" w:hAnsi="宋体" w:cs="宋体"/>
          <w:color w:val="auto"/>
          <w:sz w:val="24"/>
          <w:szCs w:val="24"/>
          <w:highlight w:val="none"/>
        </w:rPr>
        <w:t>。</w:t>
      </w:r>
      <w:r>
        <w:rPr>
          <w:rFonts w:hint="eastAsia" w:ascii="宋体" w:hAnsi="宋体" w:cs="宋体"/>
          <w:sz w:val="24"/>
          <w:szCs w:val="24"/>
          <w:highlight w:val="none"/>
        </w:rPr>
        <w:t>（需提供承诺书</w:t>
      </w:r>
      <w:r>
        <w:rPr>
          <w:rFonts w:hint="eastAsia" w:ascii="宋体" w:hAnsi="宋体" w:cs="宋体"/>
          <w:sz w:val="24"/>
          <w:szCs w:val="24"/>
          <w:highlight w:val="none"/>
          <w:lang w:val="en-US" w:eastAsia="zh-CN"/>
        </w:rPr>
        <w:t>及说明图文</w:t>
      </w:r>
      <w:r>
        <w:rPr>
          <w:rFonts w:hint="eastAsia" w:ascii="宋体" w:hAnsi="宋体" w:cs="宋体"/>
          <w:sz w:val="24"/>
          <w:szCs w:val="24"/>
          <w:highlight w:val="none"/>
        </w:rPr>
        <w:t>）</w:t>
      </w:r>
    </w:p>
    <w:p w14:paraId="76F5D1B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color w:val="auto"/>
          <w:sz w:val="24"/>
          <w:szCs w:val="24"/>
        </w:rPr>
      </w:pPr>
      <w:r>
        <w:rPr>
          <w:rFonts w:hint="eastAsia" w:ascii="宋体" w:hAnsi="宋体" w:cs="宋体"/>
          <w:color w:val="auto"/>
          <w:sz w:val="24"/>
          <w:szCs w:val="24"/>
        </w:rPr>
        <w:t>温度范围：</w:t>
      </w:r>
      <w:r>
        <w:rPr>
          <w:rFonts w:hint="eastAsia" w:ascii="宋体" w:hAnsi="宋体" w:cs="宋体"/>
          <w:color w:val="auto"/>
          <w:sz w:val="24"/>
          <w:szCs w:val="24"/>
          <w:lang w:val="en-US" w:eastAsia="zh-CN"/>
        </w:rPr>
        <w:t>T30</w:t>
      </w:r>
      <w:r>
        <w:rPr>
          <w:rFonts w:hint="eastAsia" w:ascii="宋体" w:hAnsi="宋体" w:cs="宋体"/>
          <w:color w:val="auto"/>
          <w:sz w:val="24"/>
          <w:szCs w:val="24"/>
        </w:rPr>
        <w:t>。</w:t>
      </w:r>
    </w:p>
    <w:p w14:paraId="73641C3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color w:val="auto"/>
          <w:sz w:val="24"/>
          <w:szCs w:val="24"/>
        </w:rPr>
      </w:pPr>
      <w:r>
        <w:rPr>
          <w:rFonts w:hint="eastAsia" w:ascii="宋体" w:hAnsi="宋体" w:cs="宋体"/>
          <w:color w:val="auto"/>
          <w:sz w:val="24"/>
          <w:szCs w:val="24"/>
        </w:rPr>
        <w:t>湿度范围：水表适应工作环境湿度范围。</w:t>
      </w:r>
    </w:p>
    <w:p w14:paraId="5FE9359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环境等级：</w:t>
      </w:r>
      <w:r>
        <w:rPr>
          <w:rFonts w:hint="eastAsia" w:ascii="宋体" w:hAnsi="宋体" w:cs="宋体"/>
          <w:color w:val="auto"/>
          <w:sz w:val="24"/>
          <w:szCs w:val="24"/>
          <w:highlight w:val="none"/>
          <w:lang w:val="en-US" w:eastAsia="zh-CN"/>
        </w:rPr>
        <w:t>B级</w:t>
      </w:r>
      <w:r>
        <w:rPr>
          <w:rFonts w:hint="eastAsia" w:ascii="宋体" w:hAnsi="宋体" w:cs="宋体"/>
          <w:color w:val="auto"/>
          <w:sz w:val="24"/>
          <w:szCs w:val="24"/>
          <w:highlight w:val="none"/>
        </w:rPr>
        <w:t>。</w:t>
      </w:r>
    </w:p>
    <w:p w14:paraId="629CA23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cs="宋体"/>
          <w:sz w:val="24"/>
          <w:szCs w:val="24"/>
          <w:highlight w:val="none"/>
        </w:rPr>
      </w:pPr>
      <w:r>
        <w:rPr>
          <w:rFonts w:hint="eastAsia" w:ascii="宋体" w:hAnsi="宋体" w:cs="宋体"/>
          <w:sz w:val="24"/>
          <w:szCs w:val="24"/>
        </w:rPr>
        <w:t>电磁环境等级：</w:t>
      </w:r>
      <w:r>
        <w:rPr>
          <w:rFonts w:hint="eastAsia" w:ascii="宋体" w:hAnsi="宋体" w:cs="宋体"/>
          <w:sz w:val="24"/>
          <w:szCs w:val="24"/>
          <w:lang w:val="en-US" w:eastAsia="zh-CN"/>
        </w:rPr>
        <w:t>E1</w:t>
      </w:r>
      <w:r>
        <w:rPr>
          <w:rFonts w:hint="eastAsia" w:ascii="宋体" w:hAnsi="宋体" w:cs="宋体"/>
          <w:sz w:val="24"/>
          <w:szCs w:val="24"/>
          <w:highlight w:val="none"/>
        </w:rPr>
        <w:t>。</w:t>
      </w:r>
    </w:p>
    <w:p w14:paraId="2E16EC5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流动剖面敏感度等级：U10 D5。</w:t>
      </w:r>
    </w:p>
    <w:p w14:paraId="1B436C2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shd w:val="clear" w:color="auto" w:fill="9CC2E5"/>
        </w:rPr>
      </w:pPr>
      <w:r>
        <w:rPr>
          <w:rFonts w:hint="eastAsia" w:ascii="宋体" w:hAnsi="宋体" w:cs="宋体"/>
          <w:sz w:val="24"/>
          <w:szCs w:val="24"/>
        </w:rPr>
        <w:t>防护等级：整机防护等级</w:t>
      </w:r>
      <w:r>
        <w:rPr>
          <w:rFonts w:hint="eastAsia" w:ascii="宋体" w:hAnsi="宋体" w:cs="宋体"/>
          <w:sz w:val="24"/>
          <w:szCs w:val="24"/>
          <w:lang w:val="en-US" w:eastAsia="zh-CN"/>
        </w:rPr>
        <w:t>IP68</w:t>
      </w:r>
      <w:r>
        <w:rPr>
          <w:rFonts w:hint="eastAsia" w:ascii="宋体" w:hAnsi="宋体" w:cs="宋体"/>
          <w:sz w:val="24"/>
          <w:szCs w:val="24"/>
        </w:rPr>
        <w:t>。</w:t>
      </w:r>
    </w:p>
    <w:p w14:paraId="4395609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cs="宋体"/>
          <w:sz w:val="24"/>
          <w:szCs w:val="24"/>
        </w:rPr>
      </w:pPr>
      <w:r>
        <w:rPr>
          <w:rFonts w:hint="eastAsia" w:ascii="宋体" w:hAnsi="宋体" w:cs="宋体"/>
          <w:sz w:val="24"/>
          <w:szCs w:val="24"/>
        </w:rPr>
        <w:t>数据采集精度：</w:t>
      </w:r>
      <w:r>
        <w:rPr>
          <w:rFonts w:hint="eastAsia" w:ascii="宋体" w:hAnsi="宋体" w:cs="宋体"/>
          <w:sz w:val="24"/>
          <w:szCs w:val="24"/>
          <w:lang w:val="en-US" w:eastAsia="zh-CN"/>
        </w:rPr>
        <w:t>至少精确到10L</w:t>
      </w:r>
      <w:r>
        <w:rPr>
          <w:rFonts w:hint="eastAsia" w:ascii="宋体" w:hAnsi="宋体" w:cs="宋体"/>
          <w:sz w:val="24"/>
          <w:szCs w:val="24"/>
        </w:rPr>
        <w:t>。</w:t>
      </w:r>
    </w:p>
    <w:p w14:paraId="1F80C16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rPr>
        <w:t>内置电池：锂电池</w:t>
      </w:r>
      <w:r>
        <w:rPr>
          <w:rFonts w:hint="eastAsia" w:ascii="宋体" w:hAnsi="宋体" w:cs="宋体"/>
          <w:sz w:val="24"/>
          <w:szCs w:val="24"/>
          <w:highlight w:val="none"/>
          <w:lang w:eastAsia="zh-CN"/>
        </w:rPr>
        <w:t>，</w:t>
      </w:r>
      <w:r>
        <w:rPr>
          <w:rFonts w:hint="eastAsia" w:ascii="宋体" w:hAnsi="宋体" w:cs="宋体"/>
          <w:sz w:val="24"/>
          <w:szCs w:val="24"/>
          <w:highlight w:val="none"/>
        </w:rPr>
        <w:t>可独立更换，在上报频次为1次/日时，保证可连续使用≥</w:t>
      </w:r>
      <w:r>
        <w:rPr>
          <w:rFonts w:hint="eastAsia" w:ascii="宋体" w:hAnsi="宋体" w:cs="宋体"/>
          <w:sz w:val="24"/>
          <w:szCs w:val="24"/>
          <w:highlight w:val="none"/>
          <w:lang w:val="en-US" w:eastAsia="zh-CN"/>
        </w:rPr>
        <w:t>6</w:t>
      </w:r>
      <w:r>
        <w:rPr>
          <w:rFonts w:hint="eastAsia" w:ascii="宋体" w:hAnsi="宋体" w:cs="宋体"/>
          <w:sz w:val="24"/>
          <w:szCs w:val="24"/>
          <w:highlight w:val="none"/>
        </w:rPr>
        <w:t>年。（需提供承诺书</w:t>
      </w:r>
      <w:r>
        <w:rPr>
          <w:rFonts w:hint="eastAsia" w:ascii="宋体" w:hAnsi="宋体" w:cs="宋体"/>
          <w:sz w:val="24"/>
          <w:szCs w:val="24"/>
          <w:highlight w:val="none"/>
          <w:lang w:val="en-US" w:eastAsia="zh-CN"/>
        </w:rPr>
        <w:t>及电池独立更换说明文件</w:t>
      </w:r>
      <w:r>
        <w:rPr>
          <w:rFonts w:hint="eastAsia" w:ascii="宋体" w:hAnsi="宋体" w:cs="宋体"/>
          <w:sz w:val="24"/>
          <w:szCs w:val="24"/>
          <w:highlight w:val="none"/>
        </w:rPr>
        <w:t>）</w:t>
      </w:r>
    </w:p>
    <w:p w14:paraId="0776A3A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lang w:val="en-US" w:eastAsia="zh-CN"/>
        </w:rPr>
        <w:t>阀门：采用两线制电动球阀；</w:t>
      </w:r>
    </w:p>
    <w:p w14:paraId="55033B6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lang w:val="en-US" w:eastAsia="zh-CN"/>
        </w:rPr>
        <w:t>阀门功耗：阀门应在1V供电电压，0.3Mpa的水压下可以可靠开关（需提供省级及以上监督检验机构出具的检测报告</w:t>
      </w:r>
      <w:r>
        <w:rPr>
          <w:rFonts w:hint="eastAsia" w:ascii="宋体" w:hAnsi="宋体" w:cs="宋体"/>
          <w:color w:val="000000"/>
          <w:sz w:val="24"/>
          <w:szCs w:val="24"/>
          <w:highlight w:val="none"/>
          <w:lang w:val="en-US" w:eastAsia="zh-CN"/>
        </w:rPr>
        <w:t>复印件并加盖公章</w:t>
      </w:r>
      <w:r>
        <w:rPr>
          <w:rFonts w:hint="eastAsia" w:ascii="宋体" w:hAnsi="宋体" w:cs="宋体"/>
          <w:sz w:val="24"/>
          <w:szCs w:val="24"/>
          <w:highlight w:val="none"/>
          <w:lang w:val="en-US" w:eastAsia="zh-CN"/>
        </w:rPr>
        <w:t>和相关承诺）</w:t>
      </w:r>
      <w:r>
        <w:rPr>
          <w:rFonts w:hint="eastAsia" w:ascii="宋体" w:hAnsi="宋体" w:cs="宋体"/>
          <w:sz w:val="24"/>
          <w:szCs w:val="24"/>
          <w:highlight w:val="none"/>
        </w:rPr>
        <w:t>。</w:t>
      </w:r>
    </w:p>
    <w:p w14:paraId="4A3C6A5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ascii="宋体" w:hAnsi="宋体" w:cs="宋体"/>
          <w:sz w:val="24"/>
          <w:szCs w:val="24"/>
          <w:highlight w:val="none"/>
        </w:rPr>
      </w:pPr>
      <w:r>
        <w:rPr>
          <w:rFonts w:hint="eastAsia" w:ascii="宋体" w:hAnsi="宋体" w:cs="宋体"/>
          <w:sz w:val="24"/>
          <w:szCs w:val="24"/>
          <w:highlight w:val="none"/>
        </w:rPr>
        <w:t>水表电子设备不得破坏基表结构，不得影响人工抄读到L位和自动检定。</w:t>
      </w:r>
    </w:p>
    <w:p w14:paraId="03E9A4B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sz w:val="24"/>
          <w:szCs w:val="24"/>
          <w:highlight w:val="none"/>
        </w:rPr>
      </w:pPr>
      <w:r>
        <w:rPr>
          <w:rFonts w:hint="eastAsia" w:ascii="宋体" w:hAnsi="宋体" w:cs="宋体"/>
          <w:sz w:val="24"/>
          <w:szCs w:val="24"/>
          <w:highlight w:val="none"/>
        </w:rPr>
        <w:t>通讯方式：采用NB-IoT网络实现数据传输。</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具有华为技术认证证书及无线电核准证证书</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提供复印件并加盖公章</w:t>
      </w:r>
      <w:r>
        <w:rPr>
          <w:rFonts w:hint="eastAsia" w:ascii="宋体" w:hAnsi="宋体" w:cs="宋体"/>
          <w:sz w:val="24"/>
          <w:szCs w:val="24"/>
          <w:highlight w:val="none"/>
          <w:lang w:eastAsia="zh-CN"/>
        </w:rPr>
        <w:t>）</w:t>
      </w:r>
    </w:p>
    <w:p w14:paraId="247F77DB">
      <w:pPr>
        <w:keepNext w:val="0"/>
        <w:keepLines w:val="0"/>
        <w:pageBreakBefore w:val="0"/>
        <w:kinsoku/>
        <w:wordWrap/>
        <w:overflowPunct/>
        <w:topLinePunct w:val="0"/>
        <w:bidi w:val="0"/>
        <w:spacing w:line="440" w:lineRule="exact"/>
        <w:ind w:firstLine="482" w:firstLineChars="200"/>
        <w:rPr>
          <w:rFonts w:ascii="宋体" w:hAnsi="宋体" w:cs="宋体"/>
          <w:b/>
          <w:sz w:val="24"/>
          <w:szCs w:val="24"/>
        </w:rPr>
      </w:pPr>
      <w:r>
        <w:rPr>
          <w:rFonts w:hint="eastAsia" w:ascii="宋体" w:hAnsi="宋体" w:cs="宋体"/>
          <w:b/>
          <w:sz w:val="24"/>
          <w:szCs w:val="24"/>
          <w:lang w:val="en-US" w:eastAsia="zh-CN"/>
        </w:rPr>
        <w:t>1.</w:t>
      </w:r>
      <w:r>
        <w:rPr>
          <w:rFonts w:hint="eastAsia" w:ascii="宋体" w:hAnsi="宋体" w:cs="宋体"/>
          <w:b/>
          <w:sz w:val="24"/>
          <w:szCs w:val="24"/>
        </w:rPr>
        <w:t>4、电子设备功能要求</w:t>
      </w:r>
    </w:p>
    <w:p w14:paraId="5B7CFC9B">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1.4.1 数据上报：默认每日周期上报</w:t>
      </w:r>
      <w:r>
        <w:rPr>
          <w:rFonts w:hint="eastAsia" w:ascii="宋体" w:hAnsi="宋体" w:cs="宋体"/>
          <w:sz w:val="24"/>
          <w:szCs w:val="24"/>
          <w:lang w:eastAsia="zh-CN"/>
        </w:rPr>
        <w:t>，</w:t>
      </w:r>
      <w:r>
        <w:rPr>
          <w:rFonts w:hint="eastAsia" w:ascii="宋体" w:hAnsi="宋体" w:cs="宋体"/>
          <w:sz w:val="24"/>
          <w:szCs w:val="24"/>
        </w:rPr>
        <w:t>上报前一天24小时的数据记录，水量数据处理频率为30分钟/次，共48个记录信息等。</w:t>
      </w:r>
    </w:p>
    <w:p w14:paraId="43DCF346">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1.4.2 补包功能：如发生本次数据上报不成功，则在下一个上报周期时数据自动补包。</w:t>
      </w:r>
    </w:p>
    <w:p w14:paraId="1635B48D">
      <w:pPr>
        <w:keepNext w:val="0"/>
        <w:keepLines w:val="0"/>
        <w:pageBreakBefore w:val="0"/>
        <w:kinsoku/>
        <w:wordWrap/>
        <w:overflowPunct/>
        <w:topLinePunct w:val="0"/>
        <w:bidi w:val="0"/>
        <w:spacing w:line="440" w:lineRule="exact"/>
        <w:ind w:firstLine="468" w:firstLineChars="195"/>
        <w:rPr>
          <w:rFonts w:ascii="宋体" w:hAnsi="宋体" w:cs="宋体"/>
          <w:sz w:val="24"/>
          <w:szCs w:val="24"/>
          <w:highlight w:val="none"/>
        </w:rPr>
      </w:pPr>
      <w:r>
        <w:rPr>
          <w:rFonts w:hint="eastAsia" w:ascii="宋体" w:hAnsi="宋体" w:cs="宋体"/>
          <w:sz w:val="24"/>
          <w:szCs w:val="24"/>
        </w:rPr>
        <w:t>1.</w:t>
      </w:r>
      <w:r>
        <w:rPr>
          <w:rFonts w:hint="eastAsia" w:ascii="宋体" w:hAnsi="宋体" w:cs="宋体"/>
          <w:sz w:val="24"/>
          <w:szCs w:val="24"/>
          <w:highlight w:val="none"/>
        </w:rPr>
        <w:t>4.3 数据上报消息：数据上报消息要求在一个完整的消息报文中上送，</w:t>
      </w:r>
      <w:r>
        <w:rPr>
          <w:rFonts w:hint="eastAsia" w:ascii="宋体" w:hAnsi="宋体" w:cs="宋体"/>
          <w:color w:val="000000"/>
          <w:sz w:val="24"/>
          <w:szCs w:val="24"/>
          <w:highlight w:val="none"/>
        </w:rPr>
        <w:t>上报应用平台的水量数据分辨力应为1</w:t>
      </w:r>
      <w:r>
        <w:rPr>
          <w:rFonts w:hint="eastAsia" w:ascii="宋体" w:hAnsi="宋体" w:cs="宋体"/>
          <w:color w:val="000000"/>
          <w:sz w:val="24"/>
          <w:szCs w:val="24"/>
          <w:highlight w:val="none"/>
          <w:lang w:val="en-US" w:eastAsia="zh-CN"/>
        </w:rPr>
        <w:t>0</w:t>
      </w:r>
      <w:r>
        <w:rPr>
          <w:rFonts w:hint="eastAsia" w:ascii="宋体" w:hAnsi="宋体" w:cs="宋体"/>
          <w:color w:val="000000"/>
          <w:sz w:val="24"/>
          <w:szCs w:val="24"/>
          <w:highlight w:val="none"/>
        </w:rPr>
        <w:t>L</w:t>
      </w:r>
      <w:r>
        <w:rPr>
          <w:rFonts w:hint="eastAsia" w:ascii="宋体" w:hAnsi="宋体" w:cs="宋体"/>
          <w:color w:val="000000"/>
          <w:sz w:val="24"/>
          <w:szCs w:val="24"/>
          <w:highlight w:val="none"/>
          <w:lang w:eastAsia="zh-CN"/>
        </w:rPr>
        <w:t>，抄表成功率＞99.9%，抄表差错率＜0.1%</w:t>
      </w:r>
      <w:r>
        <w:rPr>
          <w:rFonts w:hint="eastAsia" w:ascii="宋体" w:hAnsi="宋体" w:cs="宋体"/>
          <w:color w:val="000000"/>
          <w:sz w:val="24"/>
          <w:szCs w:val="24"/>
          <w:highlight w:val="none"/>
        </w:rPr>
        <w:t>。</w:t>
      </w:r>
    </w:p>
    <w:p w14:paraId="3B263539">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1.4.4 设置功能：可通过业主应用平台或红外手持设备进行设置。</w:t>
      </w:r>
    </w:p>
    <w:p w14:paraId="0A609237">
      <w:pPr>
        <w:pStyle w:val="38"/>
        <w:keepNext w:val="0"/>
        <w:keepLines w:val="0"/>
        <w:pageBreakBefore w:val="0"/>
        <w:kinsoku/>
        <w:wordWrap/>
        <w:overflowPunct/>
        <w:topLinePunct w:val="0"/>
        <w:bidi w:val="0"/>
        <w:spacing w:line="440" w:lineRule="exact"/>
        <w:ind w:firstLine="468" w:firstLineChars="195"/>
        <w:rPr>
          <w:rFonts w:hAnsi="宋体" w:cs="宋体"/>
          <w:color w:val="000000"/>
          <w:sz w:val="24"/>
          <w:szCs w:val="24"/>
        </w:rPr>
      </w:pPr>
      <w:r>
        <w:rPr>
          <w:rFonts w:hint="eastAsia" w:ascii="宋体" w:hAnsi="宋体" w:cs="宋体"/>
          <w:sz w:val="24"/>
          <w:szCs w:val="24"/>
        </w:rPr>
        <w:t>1.</w:t>
      </w:r>
      <w:r>
        <w:rPr>
          <w:rFonts w:hint="eastAsia" w:hAnsi="宋体" w:cs="宋体"/>
          <w:sz w:val="24"/>
          <w:szCs w:val="24"/>
        </w:rPr>
        <w:t>4.</w:t>
      </w:r>
      <w:r>
        <w:rPr>
          <w:rFonts w:hint="eastAsia" w:hAnsi="宋体" w:cs="宋体"/>
          <w:sz w:val="24"/>
          <w:szCs w:val="24"/>
          <w:lang w:val="en-US" w:eastAsia="zh-CN"/>
        </w:rPr>
        <w:t>6</w:t>
      </w:r>
      <w:r>
        <w:rPr>
          <w:rFonts w:hint="eastAsia" w:hAnsi="宋体" w:cs="宋体"/>
          <w:color w:val="000000"/>
          <w:sz w:val="24"/>
          <w:szCs w:val="24"/>
        </w:rPr>
        <w:t>上报离散：上报随机离散设置，把上报的时间点离散。</w:t>
      </w:r>
    </w:p>
    <w:p w14:paraId="54CD5F3D">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w:t>
      </w:r>
      <w:r>
        <w:rPr>
          <w:rFonts w:hint="eastAsia" w:ascii="宋体" w:hAnsi="宋体" w:cs="宋体"/>
          <w:sz w:val="24"/>
          <w:szCs w:val="24"/>
          <w:lang w:val="en-US" w:eastAsia="zh-CN"/>
        </w:rPr>
        <w:t>7</w:t>
      </w:r>
      <w:r>
        <w:rPr>
          <w:rFonts w:hint="eastAsia" w:ascii="宋体" w:hAnsi="宋体" w:cs="宋体"/>
          <w:sz w:val="24"/>
          <w:szCs w:val="24"/>
        </w:rPr>
        <w:t>水表底数设置：通过近端手持终端设备进行水表底数设置，保证电子读数与水表机械读数同步，手持终端设备与电子装置之间通过红外端口进行通信。</w:t>
      </w:r>
    </w:p>
    <w:p w14:paraId="3A766C5D">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w:t>
      </w:r>
      <w:r>
        <w:rPr>
          <w:rFonts w:hint="eastAsia" w:ascii="宋体" w:hAnsi="宋体" w:cs="宋体"/>
          <w:sz w:val="24"/>
          <w:szCs w:val="24"/>
          <w:lang w:val="en-US" w:eastAsia="zh-CN"/>
        </w:rPr>
        <w:t>8</w:t>
      </w:r>
      <w:r>
        <w:rPr>
          <w:rFonts w:hint="eastAsia" w:ascii="宋体" w:hAnsi="宋体" w:cs="宋体"/>
          <w:sz w:val="24"/>
          <w:szCs w:val="24"/>
        </w:rPr>
        <w:t xml:space="preserve"> 上报重发机制设置：如发生上报不成功，水表数据应进行重发。</w:t>
      </w:r>
    </w:p>
    <w:p w14:paraId="193DF141">
      <w:pPr>
        <w:keepNext w:val="0"/>
        <w:keepLines w:val="0"/>
        <w:pageBreakBefore w:val="0"/>
        <w:kinsoku/>
        <w:wordWrap/>
        <w:overflowPunct/>
        <w:topLinePunct w:val="0"/>
        <w:bidi w:val="0"/>
        <w:spacing w:line="440" w:lineRule="exact"/>
        <w:ind w:firstLine="468" w:firstLineChars="195"/>
        <w:rPr>
          <w:rFonts w:ascii="宋体" w:hAnsi="宋体" w:cs="宋体"/>
          <w:sz w:val="24"/>
          <w:szCs w:val="24"/>
        </w:rPr>
      </w:pPr>
      <w:r>
        <w:rPr>
          <w:rFonts w:hint="eastAsia" w:ascii="宋体" w:hAnsi="宋体" w:cs="宋体"/>
          <w:sz w:val="24"/>
          <w:szCs w:val="24"/>
        </w:rPr>
        <w:t>1.4.</w:t>
      </w:r>
      <w:r>
        <w:rPr>
          <w:rFonts w:hint="eastAsia" w:ascii="宋体" w:hAnsi="宋体" w:cs="宋体"/>
          <w:sz w:val="24"/>
          <w:szCs w:val="24"/>
          <w:lang w:val="en-US" w:eastAsia="zh-CN"/>
        </w:rPr>
        <w:t>10</w:t>
      </w:r>
      <w:r>
        <w:rPr>
          <w:rFonts w:hint="eastAsia" w:ascii="宋体" w:hAnsi="宋体" w:cs="宋体"/>
          <w:sz w:val="24"/>
          <w:szCs w:val="24"/>
        </w:rPr>
        <w:t>低电压告警：电子装置电池低电压时，应默认随周期上报数据进行低电压事件告警，支持上报当前电池电压。</w:t>
      </w:r>
    </w:p>
    <w:p w14:paraId="13E2FF6F">
      <w:pPr>
        <w:keepNext w:val="0"/>
        <w:keepLines w:val="0"/>
        <w:pageBreakBefore w:val="0"/>
        <w:kinsoku/>
        <w:wordWrap/>
        <w:overflowPunct/>
        <w:topLinePunct w:val="0"/>
        <w:bidi w:val="0"/>
        <w:spacing w:line="440" w:lineRule="exact"/>
        <w:ind w:firstLine="468" w:firstLineChars="195"/>
        <w:rPr>
          <w:rFonts w:hint="eastAsia" w:ascii="宋体" w:hAnsi="宋体" w:cs="宋体"/>
          <w:sz w:val="24"/>
        </w:rPr>
      </w:pPr>
      <w:r>
        <w:rPr>
          <w:rFonts w:hint="eastAsia" w:ascii="宋体" w:hAnsi="宋体" w:cs="宋体"/>
          <w:sz w:val="24"/>
          <w:szCs w:val="24"/>
        </w:rPr>
        <w:t>1.4.</w:t>
      </w:r>
      <w:r>
        <w:rPr>
          <w:rFonts w:hint="eastAsia" w:ascii="宋体" w:hAnsi="宋体" w:cs="宋体"/>
          <w:sz w:val="24"/>
          <w:szCs w:val="24"/>
          <w:lang w:val="en-US" w:eastAsia="zh-CN"/>
        </w:rPr>
        <w:t>11</w:t>
      </w:r>
      <w:r>
        <w:rPr>
          <w:rFonts w:hint="eastAsia" w:ascii="宋体" w:hAnsi="宋体" w:cs="宋体"/>
          <w:sz w:val="24"/>
          <w:szCs w:val="24"/>
        </w:rPr>
        <w:t xml:space="preserve"> 时间校对：数据周期上报时，通过NB-IoT芯片进行校对。</w:t>
      </w:r>
    </w:p>
    <w:p w14:paraId="0ACAE2CC">
      <w:pPr>
        <w:keepNext w:val="0"/>
        <w:keepLines w:val="0"/>
        <w:pageBreakBefore w:val="0"/>
        <w:tabs>
          <w:tab w:val="left" w:pos="5325"/>
        </w:tabs>
        <w:kinsoku/>
        <w:wordWrap/>
        <w:overflowPunct/>
        <w:topLinePunct w:val="0"/>
        <w:bidi w:val="0"/>
        <w:snapToGrid w:val="0"/>
        <w:spacing w:line="440" w:lineRule="exact"/>
        <w:ind w:firstLine="480" w:firstLineChars="200"/>
        <w:rPr>
          <w:rFonts w:hint="eastAsia" w:ascii="宋体" w:hAnsi="宋体" w:cs="宋体"/>
          <w:sz w:val="24"/>
        </w:rPr>
      </w:pPr>
      <w:r>
        <w:rPr>
          <w:rFonts w:hint="eastAsia" w:ascii="宋体" w:hAnsi="宋体" w:cs="宋体"/>
          <w:sz w:val="24"/>
        </w:rPr>
        <w:t>其他未见事项，按照国家及行业相关技术标要求。</w:t>
      </w:r>
    </w:p>
    <w:p w14:paraId="10F82CC9">
      <w:pPr>
        <w:spacing w:line="500" w:lineRule="exact"/>
        <w:ind w:firstLine="480" w:firstLineChars="200"/>
        <w:rPr>
          <w:rFonts w:ascii="宋体" w:hAnsi="宋体"/>
          <w:sz w:val="24"/>
          <w:szCs w:val="21"/>
          <w:highlight w:val="none"/>
        </w:rPr>
      </w:pPr>
      <w:r>
        <w:rPr>
          <w:rFonts w:hint="eastAsia" w:ascii="宋体" w:hAnsi="宋体"/>
          <w:sz w:val="24"/>
          <w:szCs w:val="21"/>
          <w:highlight w:val="none"/>
        </w:rPr>
        <w:t>2、其他</w:t>
      </w:r>
    </w:p>
    <w:p w14:paraId="077A7664">
      <w:pPr>
        <w:spacing w:line="500" w:lineRule="exact"/>
        <w:ind w:firstLine="570"/>
        <w:rPr>
          <w:rFonts w:hint="eastAsia" w:ascii="宋体" w:hAnsi="宋体" w:eastAsia="宋体"/>
          <w:sz w:val="24"/>
          <w:szCs w:val="21"/>
          <w:highlight w:val="none"/>
          <w:lang w:val="en-US" w:eastAsia="zh-CN"/>
        </w:rPr>
      </w:pPr>
      <w:r>
        <w:rPr>
          <w:rFonts w:hint="eastAsia" w:ascii="宋体" w:hAnsi="宋体"/>
          <w:sz w:val="24"/>
          <w:szCs w:val="21"/>
          <w:highlight w:val="none"/>
        </w:rPr>
        <w:t>2</w:t>
      </w:r>
      <w:r>
        <w:rPr>
          <w:rFonts w:ascii="宋体" w:hAnsi="宋体"/>
          <w:sz w:val="24"/>
          <w:szCs w:val="21"/>
          <w:highlight w:val="none"/>
        </w:rPr>
        <w:t>.1</w:t>
      </w:r>
      <w:r>
        <w:rPr>
          <w:rFonts w:hint="eastAsia" w:ascii="宋体" w:hAnsi="宋体"/>
          <w:sz w:val="24"/>
          <w:szCs w:val="21"/>
          <w:highlight w:val="none"/>
        </w:rPr>
        <w:t>售后服务</w:t>
      </w:r>
      <w:r>
        <w:rPr>
          <w:rFonts w:hint="eastAsia" w:ascii="宋体" w:hAnsi="宋体"/>
          <w:sz w:val="24"/>
          <w:szCs w:val="21"/>
          <w:highlight w:val="none"/>
          <w:lang w:val="en-US" w:eastAsia="zh-CN"/>
        </w:rPr>
        <w:t>要求</w:t>
      </w:r>
    </w:p>
    <w:p w14:paraId="6773D62A">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（1）对采购的货物需免费送货等。</w:t>
      </w:r>
    </w:p>
    <w:p w14:paraId="149FABD5">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2）故障响应时间：供应商售后服务部需提供每周7天，每天24小时的热线电话服务，由专门的技术人员受理用户电话咨询和故障申告，保证用户在使用设备的过程中，及时得到技术上的支持和服务，发现故障，24小时内到现场进行维修。</w:t>
      </w:r>
    </w:p>
    <w:p w14:paraId="39AF0792">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（3）维修与备品备件服务：保修期内，如发现故障，乙方负责免费维修，不能修复的，进行更换。若非因甲方人为损坏的，乙方免收一切费用。</w:t>
      </w:r>
    </w:p>
    <w:p w14:paraId="008B650D">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（4）技术服务信息（要求提供采购人专业技术人员名单和联系电话）。</w:t>
      </w:r>
    </w:p>
    <w:p w14:paraId="070A22FB">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2.2</w:t>
      </w:r>
      <w:r>
        <w:rPr>
          <w:rFonts w:hint="eastAsia" w:ascii="宋体" w:hAnsi="宋体"/>
          <w:sz w:val="24"/>
          <w:szCs w:val="21"/>
          <w:highlight w:val="none"/>
        </w:rPr>
        <w:t>质量要求</w:t>
      </w:r>
    </w:p>
    <w:p w14:paraId="1807E829">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报价人提供的货物完全符合国家规定的质量标准、行业标准及供应商承诺，供货时必须附产品原产地标签、合格证及其他相关的材料。</w:t>
      </w:r>
    </w:p>
    <w:p w14:paraId="66BE1F92">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所投产品质保严格按照相关标准执行，报价供应商必须在投标文件中详细阐明质保内容及质保期限等。</w:t>
      </w:r>
    </w:p>
    <w:p w14:paraId="70AB7646">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货物必须是全新产品，产品的商标、质量等标志以及合格证等相关证明齐全。</w:t>
      </w:r>
    </w:p>
    <w:p w14:paraId="418F58CF">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整机质保期限不少于六年（含六年）。</w:t>
      </w:r>
    </w:p>
    <w:p w14:paraId="49B85CF7">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其他要求</w:t>
      </w:r>
    </w:p>
    <w:p w14:paraId="5FFA6C9A">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.1标的物所有权的转移和货物质保期：</w:t>
      </w:r>
    </w:p>
    <w:p w14:paraId="5D66DCE3">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标的物所有权的转移：标的物运至现场，经初验合格，双方交接，并在送货单上签字认可后。</w:t>
      </w:r>
    </w:p>
    <w:p w14:paraId="0060103C">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货物质保期：产品质保期以标的物所有权转移之日起不少于6年，如有问题需在24小时内给予解决。</w:t>
      </w:r>
    </w:p>
    <w:p w14:paraId="09D859BC">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.2风险责任：</w:t>
      </w:r>
    </w:p>
    <w:p w14:paraId="7B4F7912">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标的物所有权转移之前，卖方应承担全部风险责任。</w:t>
      </w:r>
    </w:p>
    <w:p w14:paraId="75AF1D8D">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.3合同期限：完成供货。</w:t>
      </w:r>
    </w:p>
    <w:p w14:paraId="44AD9DD6">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.4交货（服务）地点：供货方分批次根据采购方要求供货到采购方指定地点，由供货方完成卸货并承担卸货及运输过程中相关费用及安全等风险。</w:t>
      </w:r>
    </w:p>
    <w:p w14:paraId="109323D7">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hint="eastAsia" w:ascii="宋体" w:hAnsi="宋体"/>
          <w:sz w:val="24"/>
          <w:szCs w:val="21"/>
          <w:highlight w:val="none"/>
        </w:rPr>
        <w:t>.5供货要求及验收方式：</w:t>
      </w:r>
    </w:p>
    <w:p w14:paraId="15B53860">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根据采购人要求供货，成交人必须在招标人发出供货通知后七日内将货物运至指定地点。</w:t>
      </w:r>
    </w:p>
    <w:p w14:paraId="611A36FB">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成交人送至仓库签字认可，并提供供货出厂合格证明等资料，结账时需把回单附发票后，验收按实际数量为准。验收过程中发现数量、质量不符合要求，视为供货方毁约，中止供货合同。</w:t>
      </w:r>
    </w:p>
    <w:p w14:paraId="12B7C772">
      <w:pPr>
        <w:spacing w:line="480" w:lineRule="exact"/>
        <w:ind w:firstLine="360" w:firstLineChars="150"/>
        <w:outlineLvl w:val="0"/>
        <w:rPr>
          <w:rFonts w:hint="eastAsia" w:ascii="宋体" w:hAnsi="宋体"/>
          <w:sz w:val="24"/>
          <w:szCs w:val="21"/>
          <w:highlight w:val="none"/>
        </w:rPr>
      </w:pPr>
      <w:r>
        <w:rPr>
          <w:rFonts w:hint="eastAsia" w:ascii="宋体" w:hAnsi="宋体"/>
          <w:sz w:val="24"/>
          <w:szCs w:val="21"/>
          <w:highlight w:val="none"/>
        </w:rPr>
        <w:t>成交人送至仓库签字仅限对货物表面质量如规格、质量、数量认可，使用过程中发现的质量问题由供方负责</w:t>
      </w:r>
    </w:p>
    <w:p w14:paraId="3EF613BF">
      <w:pPr>
        <w:spacing w:line="480" w:lineRule="exact"/>
        <w:ind w:firstLine="480" w:firstLineChars="200"/>
        <w:outlineLvl w:val="0"/>
        <w:rPr>
          <w:rFonts w:hint="eastAsia" w:ascii="宋体" w:hAnsi="宋体"/>
          <w:sz w:val="24"/>
          <w:szCs w:val="21"/>
          <w:highlight w:val="none"/>
        </w:rPr>
      </w:pPr>
      <w:r>
        <w:rPr>
          <w:rFonts w:hint="eastAsia" w:ascii="宋体" w:hAnsi="宋体"/>
          <w:sz w:val="24"/>
          <w:szCs w:val="21"/>
          <w:highlight w:val="none"/>
          <w:lang w:val="en-US" w:eastAsia="zh-CN"/>
        </w:rPr>
        <w:t>2.3</w:t>
      </w:r>
      <w:r>
        <w:rPr>
          <w:rFonts w:ascii="宋体" w:hAnsi="宋体"/>
          <w:sz w:val="24"/>
          <w:szCs w:val="21"/>
          <w:highlight w:val="none"/>
        </w:rPr>
        <w:t>.6</w:t>
      </w:r>
      <w:r>
        <w:rPr>
          <w:rFonts w:hint="eastAsia" w:ascii="宋体" w:hAnsi="宋体"/>
          <w:sz w:val="24"/>
          <w:szCs w:val="21"/>
          <w:highlight w:val="none"/>
        </w:rPr>
        <w:t>成交人如为经销商，须在成交后签订合同前提供厂家授权书，电磁流量计还须提供厂家相应的计量器具型式批准证书和报告，如无法提供则取消其成交资格。</w:t>
      </w:r>
    </w:p>
    <w:p w14:paraId="43A40745">
      <w:pPr>
        <w:numPr>
          <w:ilvl w:val="0"/>
          <w:numId w:val="0"/>
        </w:numPr>
        <w:spacing w:line="480" w:lineRule="exact"/>
        <w:ind w:firstLine="480" w:firstLineChars="200"/>
        <w:outlineLvl w:val="0"/>
        <w:rPr>
          <w:rFonts w:hint="eastAsia" w:ascii="宋体" w:hAnsi="宋体"/>
          <w:sz w:val="24"/>
          <w:szCs w:val="21"/>
          <w:highlight w:val="none"/>
        </w:rPr>
      </w:pPr>
      <w:r>
        <w:rPr>
          <w:rFonts w:ascii="宋体" w:hAnsi="宋体"/>
          <w:sz w:val="24"/>
          <w:szCs w:val="21"/>
          <w:highlight w:val="none"/>
        </w:rPr>
        <w:t>2.</w:t>
      </w:r>
      <w:r>
        <w:rPr>
          <w:rFonts w:hint="eastAsia" w:ascii="宋体" w:hAnsi="宋体"/>
          <w:sz w:val="24"/>
          <w:szCs w:val="21"/>
          <w:highlight w:val="none"/>
          <w:lang w:val="en-US" w:eastAsia="zh-CN"/>
        </w:rPr>
        <w:t>3.7</w:t>
      </w:r>
      <w:r>
        <w:rPr>
          <w:rFonts w:hint="eastAsia" w:ascii="宋体" w:hAnsi="宋体"/>
          <w:sz w:val="24"/>
          <w:szCs w:val="21"/>
          <w:highlight w:val="none"/>
        </w:rPr>
        <w:t>交货时间：根据采购人要求供货，供应商必须在采购人发出供货通知后在指定时间（</w:t>
      </w:r>
      <w:r>
        <w:rPr>
          <w:rFonts w:hint="eastAsia" w:ascii="宋体" w:hAnsi="宋体"/>
          <w:sz w:val="24"/>
          <w:szCs w:val="21"/>
          <w:highlight w:val="none"/>
          <w:lang w:val="en-US" w:eastAsia="zh-CN"/>
        </w:rPr>
        <w:t>7</w:t>
      </w:r>
      <w:r>
        <w:rPr>
          <w:rFonts w:hint="eastAsia" w:ascii="宋体" w:hAnsi="宋体"/>
          <w:sz w:val="24"/>
          <w:szCs w:val="21"/>
          <w:highlight w:val="none"/>
        </w:rPr>
        <w:t>个工作日）内将货物运至指定地点。成交供应商应能随时确保采购人的需求，因供应商原因缺货而给采购人造成损失，由成交供应商负责无条件赔偿并承担相应的违约责任，且采购人有权终止合同并扣除履约保证金。</w:t>
      </w:r>
    </w:p>
    <w:p w14:paraId="0D740E23">
      <w:pPr>
        <w:numPr>
          <w:ilvl w:val="0"/>
          <w:numId w:val="2"/>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r>
        <w:rPr>
          <w:rFonts w:hint="eastAsia" w:ascii="宋体" w:hAnsi="宋体"/>
          <w:sz w:val="28"/>
          <w:highlight w:val="none"/>
          <w:lang w:eastAsia="zh-CN"/>
        </w:rPr>
        <w:t>：最高限价</w:t>
      </w:r>
      <w:r>
        <w:rPr>
          <w:rFonts w:hint="eastAsia" w:ascii="宋体" w:hAnsi="宋体"/>
          <w:sz w:val="28"/>
          <w:highlight w:val="none"/>
          <w:lang w:val="en-US" w:eastAsia="zh-CN"/>
        </w:rPr>
        <w:t>为</w:t>
      </w:r>
      <w:r>
        <w:rPr>
          <w:rFonts w:hint="eastAsia" w:ascii="宋体" w:hAnsi="宋体"/>
          <w:sz w:val="28"/>
          <w:highlight w:val="none"/>
          <w:lang w:eastAsia="zh-CN"/>
        </w:rPr>
        <w:t>人民币</w:t>
      </w:r>
      <w:bookmarkStart w:id="2" w:name="_GoBack"/>
      <w:r>
        <w:rPr>
          <w:rFonts w:hint="eastAsia" w:ascii="宋体" w:hAnsi="宋体"/>
          <w:sz w:val="28"/>
          <w:highlight w:val="none"/>
          <w:u w:val="single"/>
          <w:lang w:eastAsia="zh-CN"/>
        </w:rPr>
        <w:t>48</w:t>
      </w:r>
      <w:bookmarkEnd w:id="2"/>
      <w:r>
        <w:rPr>
          <w:rFonts w:hint="eastAsia" w:ascii="宋体" w:hAnsi="宋体"/>
          <w:sz w:val="28"/>
          <w:highlight w:val="none"/>
          <w:lang w:eastAsia="zh-CN"/>
        </w:rPr>
        <w:t>万元</w:t>
      </w:r>
    </w:p>
    <w:tbl>
      <w:tblPr>
        <w:tblStyle w:val="17"/>
        <w:tblW w:w="5929"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1"/>
        <w:gridCol w:w="2580"/>
        <w:gridCol w:w="2108"/>
      </w:tblGrid>
      <w:tr w14:paraId="112CA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blCellSpacing w:w="0" w:type="dxa"/>
          <w:jc w:val="center"/>
        </w:trPr>
        <w:tc>
          <w:tcPr>
            <w:tcW w:w="1241" w:type="dxa"/>
            <w:noWrap w:val="0"/>
            <w:vAlign w:val="center"/>
          </w:tcPr>
          <w:p w14:paraId="45A8DFEC">
            <w:pPr>
              <w:spacing w:line="312" w:lineRule="auto"/>
              <w:ind w:firstLine="20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序号</w:t>
            </w:r>
          </w:p>
        </w:tc>
        <w:tc>
          <w:tcPr>
            <w:tcW w:w="2580" w:type="dxa"/>
            <w:noWrap w:val="0"/>
            <w:vAlign w:val="center"/>
          </w:tcPr>
          <w:p w14:paraId="2A074288">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规格（mm）</w:t>
            </w:r>
          </w:p>
        </w:tc>
        <w:tc>
          <w:tcPr>
            <w:tcW w:w="2108" w:type="dxa"/>
            <w:noWrap w:val="0"/>
            <w:vAlign w:val="center"/>
          </w:tcPr>
          <w:p w14:paraId="21B9E5BF">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数量（只）</w:t>
            </w:r>
          </w:p>
        </w:tc>
      </w:tr>
      <w:tr w14:paraId="308CA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blCellSpacing w:w="0" w:type="dxa"/>
          <w:jc w:val="center"/>
        </w:trPr>
        <w:tc>
          <w:tcPr>
            <w:tcW w:w="1241" w:type="dxa"/>
            <w:noWrap w:val="0"/>
            <w:vAlign w:val="center"/>
          </w:tcPr>
          <w:p w14:paraId="3F1FBE03">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2580" w:type="dxa"/>
            <w:noWrap w:val="0"/>
            <w:vAlign w:val="center"/>
          </w:tcPr>
          <w:p w14:paraId="7E5AC90F">
            <w:pPr>
              <w:spacing w:line="312" w:lineRule="auto"/>
              <w:ind w:firstLine="20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DN15</w:t>
            </w:r>
          </w:p>
        </w:tc>
        <w:tc>
          <w:tcPr>
            <w:tcW w:w="2108" w:type="dxa"/>
            <w:noWrap w:val="0"/>
            <w:vAlign w:val="center"/>
          </w:tcPr>
          <w:p w14:paraId="736A84C9">
            <w:pPr>
              <w:spacing w:line="312" w:lineRule="auto"/>
              <w:ind w:firstLine="20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1280</w:t>
            </w:r>
          </w:p>
        </w:tc>
      </w:tr>
    </w:tbl>
    <w:p w14:paraId="576A4F7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14:paraId="727E3779">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一次性供货，货到初验合格后支付全部货款的90%，余款为质保金（本次质保金为成交价的10%），待质保期满一次性无息付清，质保期满一次性无息付清余款。</w:t>
      </w:r>
    </w:p>
    <w:p w14:paraId="0D9F2DB3">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14:paraId="003C5B5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1）本次项目采用</w:t>
      </w:r>
      <w:r>
        <w:rPr>
          <w:rFonts w:hint="eastAsia" w:ascii="宋体" w:hAnsi="宋体"/>
          <w:b/>
          <w:bCs/>
          <w:sz w:val="28"/>
          <w:highlight w:val="none"/>
          <w:u w:val="single"/>
        </w:rPr>
        <w:t>综合评定法</w:t>
      </w:r>
      <w:r>
        <w:rPr>
          <w:rFonts w:hint="eastAsia" w:ascii="宋体" w:hAnsi="宋体"/>
          <w:sz w:val="28"/>
          <w:highlight w:val="none"/>
        </w:rPr>
        <w:t>的比选方式，在全部满足采购文件实质性要求前提下，潜在供应商应完全响应采购文件要求，</w:t>
      </w:r>
      <w:r>
        <w:rPr>
          <w:rFonts w:hint="eastAsia" w:ascii="宋体" w:hAnsi="宋体"/>
          <w:b/>
          <w:bCs/>
          <w:sz w:val="28"/>
          <w:highlight w:val="none"/>
        </w:rPr>
        <w:t>报价文件中有效评定总分最高的报价人作为本项目的成交供应商。</w:t>
      </w:r>
    </w:p>
    <w:p w14:paraId="772F03C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rPr>
      </w:pPr>
      <w:r>
        <w:rPr>
          <w:rFonts w:hint="eastAsia" w:ascii="宋体" w:hAnsi="宋体"/>
          <w:sz w:val="28"/>
          <w:highlight w:val="none"/>
        </w:rPr>
        <w:t>2）采购人根据报价和现场评比的情况，有权决定是否一次成交，也不排除重新竞价的可能性。</w:t>
      </w:r>
    </w:p>
    <w:p w14:paraId="718DA3D9">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4</w:t>
      </w:r>
      <w:r>
        <w:rPr>
          <w:rFonts w:hint="eastAsia" w:ascii="宋体" w:hAnsi="宋体"/>
          <w:b/>
          <w:bCs/>
          <w:sz w:val="28"/>
          <w:highlight w:val="none"/>
        </w:rPr>
        <w:t>）本项目报价函为最终报价。</w:t>
      </w:r>
    </w:p>
    <w:p w14:paraId="4D3BA692">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highlight w:val="none"/>
        </w:rPr>
      </w:pPr>
      <w:r>
        <w:rPr>
          <w:rFonts w:hint="eastAsia" w:ascii="宋体" w:hAnsi="宋体"/>
          <w:b/>
          <w:bCs/>
          <w:sz w:val="28"/>
          <w:highlight w:val="none"/>
          <w:lang w:val="en-US" w:eastAsia="zh-CN"/>
        </w:rPr>
        <w:t>5</w:t>
      </w:r>
      <w:r>
        <w:rPr>
          <w:rFonts w:hint="eastAsia" w:ascii="宋体" w:hAnsi="宋体"/>
          <w:b/>
          <w:bCs/>
          <w:sz w:val="28"/>
          <w:highlight w:val="none"/>
        </w:rPr>
        <w:t>）本项目相关费用由成交供应商支付。</w:t>
      </w:r>
    </w:p>
    <w:p w14:paraId="77E0FEFB">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val="0"/>
          <w:sz w:val="28"/>
          <w:szCs w:val="28"/>
          <w:highlight w:val="none"/>
          <w:lang w:eastAsia="zh-CN"/>
        </w:rPr>
      </w:pPr>
      <w:r>
        <w:rPr>
          <w:rFonts w:hint="eastAsia" w:ascii="仿宋" w:hAnsi="仿宋" w:eastAsia="仿宋" w:cs="仿宋"/>
          <w:b/>
          <w:bCs w:val="0"/>
          <w:sz w:val="28"/>
          <w:szCs w:val="28"/>
          <w:highlight w:val="none"/>
          <w:lang w:val="en-US" w:eastAsia="zh-CN"/>
        </w:rPr>
        <w:t>6）</w:t>
      </w:r>
      <w:r>
        <w:rPr>
          <w:rFonts w:hint="eastAsia" w:ascii="仿宋" w:hAnsi="仿宋" w:eastAsia="仿宋" w:cs="仿宋"/>
          <w:b/>
          <w:bCs w:val="0"/>
          <w:sz w:val="28"/>
          <w:szCs w:val="28"/>
          <w:highlight w:val="none"/>
        </w:rPr>
        <w:t>综合评定法</w:t>
      </w:r>
      <w:r>
        <w:rPr>
          <w:rFonts w:hint="eastAsia" w:ascii="仿宋" w:hAnsi="仿宋" w:eastAsia="仿宋" w:cs="仿宋"/>
          <w:b/>
          <w:bCs w:val="0"/>
          <w:sz w:val="28"/>
          <w:szCs w:val="28"/>
          <w:highlight w:val="none"/>
          <w:lang w:eastAsia="zh-CN"/>
        </w:rPr>
        <w:t>：</w:t>
      </w:r>
    </w:p>
    <w:p w14:paraId="564908E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本项目采用两阶段评审方式。第一阶段开启供应商资格和技术文件，并进行技术评审（技术合格分为 20 分）。其中，如报价人不符合资格要求则不进入技术文件评审。</w:t>
      </w:r>
    </w:p>
    <w:p w14:paraId="75D827B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第二阶段开启所有报价人的商务价格标，其中技术得分达不到合格分的报价供应商的商务价格标不再进入第二阶段评审。</w:t>
      </w:r>
    </w:p>
    <w:p w14:paraId="6905468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本次采购采用“综合评定法”进行评审，满分为 100 分。其中，商务分45分，技术分 55分。报价供应商综合得分=技术评分+商务评分。</w:t>
      </w:r>
    </w:p>
    <w:p w14:paraId="05139DA4">
      <w:pPr>
        <w:spacing w:line="360" w:lineRule="auto"/>
        <w:ind w:firstLine="560" w:firstLineChars="200"/>
        <w:rPr>
          <w:rFonts w:ascii="宋体" w:hAnsi="宋体" w:cs="宋体"/>
          <w:sz w:val="24"/>
        </w:rPr>
      </w:pPr>
      <w:r>
        <w:rPr>
          <w:rFonts w:hint="eastAsia" w:ascii="仿宋" w:hAnsi="仿宋" w:eastAsia="仿宋" w:cs="仿宋"/>
          <w:bCs/>
          <w:sz w:val="28"/>
          <w:szCs w:val="28"/>
          <w:highlight w:val="none"/>
        </w:rPr>
        <w:t xml:space="preserve"> </w:t>
      </w:r>
      <w:r>
        <w:rPr>
          <w:rFonts w:hint="eastAsia" w:ascii="宋体" w:hAnsi="宋体" w:cs="宋体"/>
          <w:sz w:val="24"/>
        </w:rPr>
        <w:t>（一）技术分：</w:t>
      </w:r>
      <w:r>
        <w:rPr>
          <w:rFonts w:hint="eastAsia" w:ascii="宋体" w:hAnsi="宋体" w:cs="宋体"/>
          <w:sz w:val="24"/>
          <w:lang w:val="en-US" w:eastAsia="zh-CN"/>
        </w:rPr>
        <w:t>55</w:t>
      </w:r>
      <w:r>
        <w:rPr>
          <w:rFonts w:hint="eastAsia" w:ascii="宋体" w:hAnsi="宋体" w:cs="宋体"/>
          <w:sz w:val="24"/>
        </w:rPr>
        <w:t>分</w:t>
      </w:r>
    </w:p>
    <w:tbl>
      <w:tblPr>
        <w:tblStyle w:val="17"/>
        <w:tblW w:w="0" w:type="auto"/>
        <w:jc w:val="center"/>
        <w:tblLayout w:type="fixed"/>
        <w:tblCellMar>
          <w:top w:w="0" w:type="dxa"/>
          <w:left w:w="108" w:type="dxa"/>
          <w:bottom w:w="0" w:type="dxa"/>
          <w:right w:w="108" w:type="dxa"/>
        </w:tblCellMar>
      </w:tblPr>
      <w:tblGrid>
        <w:gridCol w:w="320"/>
        <w:gridCol w:w="922"/>
        <w:gridCol w:w="709"/>
        <w:gridCol w:w="7265"/>
      </w:tblGrid>
      <w:tr w14:paraId="1E44DA48">
        <w:tblPrEx>
          <w:tblCellMar>
            <w:top w:w="0" w:type="dxa"/>
            <w:left w:w="108" w:type="dxa"/>
            <w:bottom w:w="0" w:type="dxa"/>
            <w:right w:w="108" w:type="dxa"/>
          </w:tblCellMar>
        </w:tblPrEx>
        <w:trPr>
          <w:trHeight w:val="585" w:hRule="atLeast"/>
          <w:jc w:val="center"/>
        </w:trPr>
        <w:tc>
          <w:tcPr>
            <w:tcW w:w="320" w:type="dxa"/>
            <w:tcBorders>
              <w:top w:val="single" w:color="auto" w:sz="4" w:space="0"/>
              <w:left w:val="single" w:color="auto" w:sz="4" w:space="0"/>
              <w:bottom w:val="single" w:color="auto" w:sz="4" w:space="0"/>
              <w:right w:val="single" w:color="auto" w:sz="4" w:space="0"/>
            </w:tcBorders>
            <w:noWrap/>
            <w:vAlign w:val="center"/>
          </w:tcPr>
          <w:p w14:paraId="14F9B786">
            <w:pPr>
              <w:widowControl/>
              <w:spacing w:line="400" w:lineRule="exact"/>
              <w:jc w:val="center"/>
              <w:rPr>
                <w:rFonts w:hint="eastAsia" w:ascii="仿宋_GB2312" w:hAnsi="仿宋_GB2312" w:eastAsia="仿宋_GB2312" w:cs="仿宋_GB2312"/>
                <w:bCs/>
                <w:kern w:val="0"/>
                <w:szCs w:val="21"/>
              </w:rPr>
            </w:pPr>
            <w:r>
              <w:rPr>
                <w:rFonts w:hint="eastAsia" w:ascii="仿宋_GB2312" w:hAnsi="仿宋_GB2312" w:eastAsia="仿宋_GB2312" w:cs="仿宋_GB2312"/>
                <w:bCs/>
                <w:kern w:val="0"/>
                <w:szCs w:val="21"/>
              </w:rPr>
              <w:t>序号</w:t>
            </w:r>
          </w:p>
        </w:tc>
        <w:tc>
          <w:tcPr>
            <w:tcW w:w="922" w:type="dxa"/>
            <w:tcBorders>
              <w:top w:val="single" w:color="auto" w:sz="4" w:space="0"/>
              <w:left w:val="nil"/>
              <w:bottom w:val="single" w:color="auto" w:sz="4" w:space="0"/>
              <w:right w:val="single" w:color="auto" w:sz="4" w:space="0"/>
            </w:tcBorders>
            <w:noWrap/>
            <w:vAlign w:val="center"/>
          </w:tcPr>
          <w:p w14:paraId="435CF0C3">
            <w:pPr>
              <w:widowControl/>
              <w:spacing w:line="400" w:lineRule="exact"/>
              <w:jc w:val="center"/>
              <w:rPr>
                <w:rFonts w:hint="eastAsia" w:ascii="仿宋_GB2312" w:hAnsi="仿宋_GB2312" w:eastAsia="仿宋_GB2312" w:cs="仿宋_GB2312"/>
                <w:bCs/>
                <w:kern w:val="0"/>
                <w:szCs w:val="21"/>
              </w:rPr>
            </w:pPr>
            <w:r>
              <w:rPr>
                <w:rFonts w:hint="eastAsia" w:ascii="仿宋_GB2312" w:hAnsi="仿宋_GB2312" w:eastAsia="仿宋_GB2312" w:cs="仿宋_GB2312"/>
                <w:bCs/>
                <w:kern w:val="0"/>
                <w:szCs w:val="21"/>
              </w:rPr>
              <w:t xml:space="preserve">评分点名称 </w:t>
            </w:r>
          </w:p>
        </w:tc>
        <w:tc>
          <w:tcPr>
            <w:tcW w:w="709" w:type="dxa"/>
            <w:tcBorders>
              <w:top w:val="single" w:color="auto" w:sz="4" w:space="0"/>
              <w:left w:val="nil"/>
              <w:bottom w:val="single" w:color="auto" w:sz="4" w:space="0"/>
              <w:right w:val="single" w:color="auto" w:sz="4" w:space="0"/>
            </w:tcBorders>
            <w:noWrap/>
            <w:vAlign w:val="center"/>
          </w:tcPr>
          <w:p w14:paraId="17E1E2F4">
            <w:pPr>
              <w:widowControl/>
              <w:spacing w:line="400" w:lineRule="exact"/>
              <w:jc w:val="center"/>
              <w:rPr>
                <w:rFonts w:hint="eastAsia" w:ascii="仿宋_GB2312" w:hAnsi="仿宋_GB2312" w:eastAsia="仿宋_GB2312" w:cs="仿宋_GB2312"/>
                <w:bCs/>
                <w:kern w:val="0"/>
                <w:szCs w:val="21"/>
              </w:rPr>
            </w:pPr>
            <w:r>
              <w:rPr>
                <w:rFonts w:hint="eastAsia" w:ascii="仿宋_GB2312" w:hAnsi="仿宋_GB2312" w:eastAsia="仿宋_GB2312" w:cs="仿宋_GB2312"/>
                <w:bCs/>
                <w:kern w:val="0"/>
                <w:szCs w:val="21"/>
              </w:rPr>
              <w:t>分值</w:t>
            </w:r>
          </w:p>
        </w:tc>
        <w:tc>
          <w:tcPr>
            <w:tcW w:w="7265" w:type="dxa"/>
            <w:tcBorders>
              <w:top w:val="single" w:color="auto" w:sz="4" w:space="0"/>
              <w:left w:val="nil"/>
              <w:bottom w:val="single" w:color="auto" w:sz="4" w:space="0"/>
              <w:right w:val="single" w:color="auto" w:sz="4" w:space="0"/>
            </w:tcBorders>
            <w:noWrap/>
            <w:vAlign w:val="center"/>
          </w:tcPr>
          <w:p w14:paraId="38901748">
            <w:pPr>
              <w:widowControl/>
              <w:spacing w:line="400" w:lineRule="exact"/>
              <w:jc w:val="center"/>
              <w:rPr>
                <w:rFonts w:hint="eastAsia" w:ascii="仿宋_GB2312" w:hAnsi="仿宋_GB2312" w:eastAsia="仿宋_GB2312" w:cs="仿宋_GB2312"/>
                <w:bCs/>
                <w:kern w:val="0"/>
                <w:szCs w:val="21"/>
              </w:rPr>
            </w:pPr>
            <w:r>
              <w:rPr>
                <w:rFonts w:hint="eastAsia" w:ascii="仿宋_GB2312" w:hAnsi="仿宋_GB2312" w:eastAsia="仿宋_GB2312" w:cs="仿宋_GB2312"/>
                <w:bCs/>
                <w:kern w:val="0"/>
                <w:szCs w:val="21"/>
              </w:rPr>
              <w:t>评审标准</w:t>
            </w:r>
          </w:p>
        </w:tc>
      </w:tr>
      <w:tr w14:paraId="6A176051">
        <w:tblPrEx>
          <w:tblCellMar>
            <w:top w:w="0" w:type="dxa"/>
            <w:left w:w="108" w:type="dxa"/>
            <w:bottom w:w="0" w:type="dxa"/>
            <w:right w:w="108" w:type="dxa"/>
          </w:tblCellMar>
        </w:tblPrEx>
        <w:trPr>
          <w:trHeight w:val="975" w:hRule="atLeast"/>
          <w:jc w:val="center"/>
        </w:trPr>
        <w:tc>
          <w:tcPr>
            <w:tcW w:w="320" w:type="dxa"/>
            <w:vMerge w:val="restart"/>
            <w:tcBorders>
              <w:top w:val="nil"/>
              <w:left w:val="single" w:color="auto" w:sz="4" w:space="0"/>
              <w:right w:val="single" w:color="auto" w:sz="4" w:space="0"/>
            </w:tcBorders>
            <w:noWrap w:val="0"/>
            <w:vAlign w:val="center"/>
          </w:tcPr>
          <w:p w14:paraId="6C677EC5">
            <w:pPr>
              <w:widowControl/>
              <w:spacing w:line="400" w:lineRule="exact"/>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w:t>
            </w:r>
          </w:p>
        </w:tc>
        <w:tc>
          <w:tcPr>
            <w:tcW w:w="922" w:type="dxa"/>
            <w:vMerge w:val="restart"/>
            <w:tcBorders>
              <w:top w:val="nil"/>
              <w:left w:val="single" w:color="auto" w:sz="4" w:space="0"/>
              <w:right w:val="single" w:color="auto" w:sz="4" w:space="0"/>
            </w:tcBorders>
            <w:noWrap w:val="0"/>
            <w:vAlign w:val="center"/>
          </w:tcPr>
          <w:p w14:paraId="1D0F8500">
            <w:pPr>
              <w:widowControl/>
              <w:spacing w:line="400" w:lineRule="exact"/>
              <w:jc w:val="left"/>
              <w:rPr>
                <w:rFonts w:hint="eastAsia" w:ascii="仿宋_GB2312" w:hAnsi="仿宋_GB2312" w:eastAsia="仿宋_GB2312" w:cs="仿宋_GB2312"/>
                <w:color w:val="FF0000"/>
                <w:kern w:val="0"/>
                <w:szCs w:val="21"/>
              </w:rPr>
            </w:pPr>
            <w:r>
              <w:rPr>
                <w:rFonts w:hint="eastAsia" w:ascii="仿宋_GB2312" w:hAnsi="仿宋_GB2312" w:eastAsia="仿宋_GB2312" w:cs="仿宋_GB2312"/>
                <w:kern w:val="0"/>
                <w:szCs w:val="21"/>
              </w:rPr>
              <w:t>技术要求响应（</w:t>
            </w:r>
            <w:r>
              <w:rPr>
                <w:rFonts w:hint="eastAsia" w:ascii="仿宋_GB2312" w:hAnsi="仿宋_GB2312" w:eastAsia="仿宋_GB2312" w:cs="仿宋_GB2312"/>
                <w:kern w:val="0"/>
                <w:szCs w:val="21"/>
                <w:lang w:val="en-US" w:eastAsia="zh-CN"/>
              </w:rPr>
              <w:t>15</w:t>
            </w:r>
            <w:r>
              <w:rPr>
                <w:rFonts w:hint="eastAsia" w:ascii="仿宋_GB2312" w:hAnsi="仿宋_GB2312" w:eastAsia="仿宋_GB2312" w:cs="仿宋_GB2312"/>
                <w:kern w:val="0"/>
                <w:szCs w:val="21"/>
              </w:rPr>
              <w:t>）</w:t>
            </w:r>
          </w:p>
        </w:tc>
        <w:tc>
          <w:tcPr>
            <w:tcW w:w="709" w:type="dxa"/>
            <w:tcBorders>
              <w:top w:val="nil"/>
              <w:left w:val="nil"/>
              <w:bottom w:val="single" w:color="auto" w:sz="4" w:space="0"/>
              <w:right w:val="single" w:color="auto" w:sz="4" w:space="0"/>
            </w:tcBorders>
            <w:noWrap w:val="0"/>
            <w:vAlign w:val="center"/>
          </w:tcPr>
          <w:p w14:paraId="6C76E926">
            <w:pPr>
              <w:spacing w:line="400" w:lineRule="exact"/>
              <w:jc w:val="center"/>
              <w:rPr>
                <w:rFonts w:ascii="仿宋_GB2312" w:hAnsi="仿宋_GB2312" w:eastAsia="仿宋_GB2312" w:cs="仿宋_GB2312"/>
                <w:bCs/>
                <w:spacing w:val="10"/>
                <w:kern w:val="0"/>
                <w:szCs w:val="21"/>
              </w:rPr>
            </w:pPr>
            <w:r>
              <w:rPr>
                <w:rFonts w:ascii="仿宋_GB2312" w:hAnsi="仿宋_GB2312" w:eastAsia="仿宋_GB2312" w:cs="仿宋_GB2312"/>
                <w:bCs/>
                <w:spacing w:val="10"/>
                <w:kern w:val="0"/>
                <w:szCs w:val="21"/>
              </w:rPr>
              <w:t>10</w:t>
            </w:r>
          </w:p>
        </w:tc>
        <w:tc>
          <w:tcPr>
            <w:tcW w:w="7265" w:type="dxa"/>
            <w:tcBorders>
              <w:top w:val="nil"/>
              <w:left w:val="nil"/>
              <w:bottom w:val="single" w:color="auto" w:sz="4" w:space="0"/>
              <w:right w:val="single" w:color="auto" w:sz="4" w:space="0"/>
            </w:tcBorders>
            <w:noWrap w:val="0"/>
            <w:vAlign w:val="center"/>
          </w:tcPr>
          <w:p w14:paraId="09D67408">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报价时须提供样品【DN15 NB-IoT物联网阀控水表】供评委评审（提供的样品不得有体现供应商信息的铭牌），根据样品的外观、材质、质量、产品设计的合理性等进行打分，如不提供样品或样品不全或样品明显不符合招标文件技术要求的该项评分为0分；此项最多得10分；</w:t>
            </w:r>
          </w:p>
        </w:tc>
      </w:tr>
      <w:tr w14:paraId="508E1340">
        <w:tblPrEx>
          <w:tblCellMar>
            <w:top w:w="0" w:type="dxa"/>
            <w:left w:w="108" w:type="dxa"/>
            <w:bottom w:w="0" w:type="dxa"/>
            <w:right w:w="108" w:type="dxa"/>
          </w:tblCellMar>
        </w:tblPrEx>
        <w:trPr>
          <w:trHeight w:val="558" w:hRule="atLeast"/>
          <w:jc w:val="center"/>
        </w:trPr>
        <w:tc>
          <w:tcPr>
            <w:tcW w:w="320" w:type="dxa"/>
            <w:vMerge w:val="continue"/>
            <w:tcBorders>
              <w:left w:val="single" w:color="auto" w:sz="4" w:space="0"/>
              <w:bottom w:val="single" w:color="000000" w:sz="4" w:space="0"/>
              <w:right w:val="single" w:color="auto" w:sz="4" w:space="0"/>
            </w:tcBorders>
            <w:noWrap w:val="0"/>
            <w:vAlign w:val="center"/>
          </w:tcPr>
          <w:p w14:paraId="3C2CA839">
            <w:pPr>
              <w:widowControl/>
              <w:spacing w:line="400" w:lineRule="exact"/>
              <w:jc w:val="left"/>
              <w:rPr>
                <w:rFonts w:hint="eastAsia" w:ascii="仿宋_GB2312" w:hAnsi="仿宋_GB2312" w:eastAsia="仿宋_GB2312" w:cs="仿宋_GB2312"/>
                <w:color w:val="000000"/>
                <w:kern w:val="0"/>
                <w:szCs w:val="21"/>
              </w:rPr>
            </w:pPr>
          </w:p>
        </w:tc>
        <w:tc>
          <w:tcPr>
            <w:tcW w:w="922" w:type="dxa"/>
            <w:vMerge w:val="continue"/>
            <w:tcBorders>
              <w:left w:val="single" w:color="auto" w:sz="4" w:space="0"/>
              <w:bottom w:val="single" w:color="000000" w:sz="4" w:space="0"/>
              <w:right w:val="single" w:color="auto" w:sz="4" w:space="0"/>
            </w:tcBorders>
            <w:noWrap w:val="0"/>
            <w:vAlign w:val="center"/>
          </w:tcPr>
          <w:p w14:paraId="013D9C3D">
            <w:pPr>
              <w:widowControl/>
              <w:spacing w:line="400" w:lineRule="exact"/>
              <w:jc w:val="left"/>
              <w:rPr>
                <w:rFonts w:hint="eastAsia" w:ascii="仿宋_GB2312" w:hAnsi="仿宋_GB2312" w:eastAsia="仿宋_GB2312" w:cs="仿宋_GB2312"/>
                <w:kern w:val="0"/>
                <w:szCs w:val="21"/>
              </w:rPr>
            </w:pPr>
          </w:p>
        </w:tc>
        <w:tc>
          <w:tcPr>
            <w:tcW w:w="709" w:type="dxa"/>
            <w:tcBorders>
              <w:top w:val="nil"/>
              <w:left w:val="nil"/>
              <w:bottom w:val="single" w:color="auto" w:sz="4" w:space="0"/>
              <w:right w:val="single" w:color="auto" w:sz="4" w:space="0"/>
            </w:tcBorders>
            <w:noWrap w:val="0"/>
            <w:vAlign w:val="center"/>
          </w:tcPr>
          <w:p w14:paraId="2E62E9C5">
            <w:pPr>
              <w:spacing w:line="400" w:lineRule="exact"/>
              <w:jc w:val="center"/>
              <w:rPr>
                <w:rFonts w:hint="eastAsia" w:ascii="仿宋_GB2312" w:hAnsi="仿宋_GB2312" w:eastAsia="仿宋_GB2312" w:cs="仿宋_GB2312"/>
                <w:bCs/>
                <w:spacing w:val="10"/>
                <w:kern w:val="0"/>
                <w:szCs w:val="21"/>
                <w:lang w:eastAsia="zh-CN"/>
              </w:rPr>
            </w:pPr>
            <w:r>
              <w:rPr>
                <w:rFonts w:hint="eastAsia" w:ascii="仿宋_GB2312" w:hAnsi="仿宋_GB2312" w:eastAsia="仿宋_GB2312" w:cs="仿宋_GB2312"/>
                <w:bCs/>
                <w:spacing w:val="10"/>
                <w:kern w:val="0"/>
                <w:szCs w:val="21"/>
                <w:lang w:val="en-US" w:eastAsia="zh-CN"/>
              </w:rPr>
              <w:t>2</w:t>
            </w:r>
          </w:p>
        </w:tc>
        <w:tc>
          <w:tcPr>
            <w:tcW w:w="7265" w:type="dxa"/>
            <w:tcBorders>
              <w:top w:val="nil"/>
              <w:left w:val="nil"/>
              <w:bottom w:val="single" w:color="auto" w:sz="4" w:space="0"/>
              <w:right w:val="single" w:color="auto" w:sz="4" w:space="0"/>
            </w:tcBorders>
            <w:noWrap w:val="0"/>
            <w:vAlign w:val="center"/>
          </w:tcPr>
          <w:p w14:paraId="3E6A787C">
            <w:pPr>
              <w:pStyle w:val="2"/>
              <w:ind w:left="0" w:leftChars="0" w:firstLine="0" w:firstLineChars="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（1）报价产品配套的软件具有软件测试机构出具的检测报告，得1分，须提供具有CNAS实验室资质的检测机构出具的检测报告复印件并加盖公章；</w:t>
            </w:r>
          </w:p>
          <w:p w14:paraId="6C4DB3F3">
            <w:pPr>
              <w:pStyle w:val="2"/>
              <w:ind w:left="0" w:leftChars="0" w:firstLine="0" w:firstLineChars="0"/>
              <w:rPr>
                <w:rFonts w:hint="eastAsia"/>
                <w:lang w:eastAsia="zh-CN"/>
              </w:rPr>
            </w:pPr>
            <w:r>
              <w:rPr>
                <w:rFonts w:hint="eastAsia" w:ascii="仿宋_GB2312" w:hAnsi="仿宋_GB2312" w:eastAsia="仿宋_GB2312" w:cs="仿宋_GB2312"/>
                <w:kern w:val="0"/>
                <w:szCs w:val="21"/>
                <w:lang w:val="en-US" w:eastAsia="zh-CN"/>
              </w:rPr>
              <w:t>（2）报价产品抄表成功率＞99.9%，抄表差错率＜0.1%的，得1分，否则得0分，提供DN15规格省级及以上检测机构出具的检测报告以及至少三份用户证明，复印件并加盖公章。</w:t>
            </w:r>
          </w:p>
        </w:tc>
      </w:tr>
      <w:tr w14:paraId="0B3353AD">
        <w:tblPrEx>
          <w:tblCellMar>
            <w:top w:w="0" w:type="dxa"/>
            <w:left w:w="108" w:type="dxa"/>
            <w:bottom w:w="0" w:type="dxa"/>
            <w:right w:w="108" w:type="dxa"/>
          </w:tblCellMar>
        </w:tblPrEx>
        <w:trPr>
          <w:trHeight w:val="558" w:hRule="atLeast"/>
          <w:jc w:val="center"/>
        </w:trPr>
        <w:tc>
          <w:tcPr>
            <w:tcW w:w="320" w:type="dxa"/>
            <w:vMerge w:val="continue"/>
            <w:tcBorders>
              <w:left w:val="single" w:color="auto" w:sz="4" w:space="0"/>
              <w:bottom w:val="single" w:color="000000" w:sz="4" w:space="0"/>
              <w:right w:val="single" w:color="auto" w:sz="4" w:space="0"/>
            </w:tcBorders>
            <w:noWrap w:val="0"/>
            <w:vAlign w:val="center"/>
          </w:tcPr>
          <w:p w14:paraId="618C0C02">
            <w:pPr>
              <w:widowControl/>
              <w:spacing w:line="400" w:lineRule="exact"/>
              <w:jc w:val="left"/>
              <w:rPr>
                <w:rFonts w:hint="eastAsia" w:ascii="仿宋_GB2312" w:hAnsi="仿宋_GB2312" w:eastAsia="仿宋_GB2312" w:cs="仿宋_GB2312"/>
                <w:color w:val="000000"/>
                <w:kern w:val="0"/>
                <w:szCs w:val="21"/>
              </w:rPr>
            </w:pPr>
          </w:p>
        </w:tc>
        <w:tc>
          <w:tcPr>
            <w:tcW w:w="922" w:type="dxa"/>
            <w:vMerge w:val="continue"/>
            <w:tcBorders>
              <w:left w:val="single" w:color="auto" w:sz="4" w:space="0"/>
              <w:bottom w:val="single" w:color="000000" w:sz="4" w:space="0"/>
              <w:right w:val="single" w:color="auto" w:sz="4" w:space="0"/>
            </w:tcBorders>
            <w:noWrap w:val="0"/>
            <w:vAlign w:val="center"/>
          </w:tcPr>
          <w:p w14:paraId="761E36D4">
            <w:pPr>
              <w:widowControl/>
              <w:spacing w:line="400" w:lineRule="exact"/>
              <w:jc w:val="left"/>
              <w:rPr>
                <w:rFonts w:hint="eastAsia" w:ascii="仿宋_GB2312" w:hAnsi="仿宋_GB2312" w:eastAsia="仿宋_GB2312" w:cs="仿宋_GB2312"/>
                <w:kern w:val="0"/>
                <w:szCs w:val="21"/>
              </w:rPr>
            </w:pPr>
          </w:p>
        </w:tc>
        <w:tc>
          <w:tcPr>
            <w:tcW w:w="709" w:type="dxa"/>
            <w:tcBorders>
              <w:top w:val="nil"/>
              <w:left w:val="nil"/>
              <w:bottom w:val="single" w:color="auto" w:sz="4" w:space="0"/>
              <w:right w:val="single" w:color="auto" w:sz="4" w:space="0"/>
            </w:tcBorders>
            <w:noWrap w:val="0"/>
            <w:vAlign w:val="center"/>
          </w:tcPr>
          <w:p w14:paraId="0C13F748">
            <w:pPr>
              <w:spacing w:line="400" w:lineRule="exact"/>
              <w:jc w:val="center"/>
              <w:rPr>
                <w:rFonts w:hint="eastAsia" w:ascii="仿宋_GB2312" w:hAnsi="仿宋_GB2312" w:eastAsia="仿宋_GB2312" w:cs="仿宋_GB2312"/>
                <w:bCs/>
                <w:spacing w:val="10"/>
                <w:kern w:val="0"/>
                <w:szCs w:val="21"/>
                <w:lang w:eastAsia="zh-CN"/>
              </w:rPr>
            </w:pPr>
            <w:r>
              <w:rPr>
                <w:rFonts w:hint="eastAsia" w:ascii="仿宋_GB2312" w:hAnsi="仿宋_GB2312" w:eastAsia="仿宋_GB2312" w:cs="仿宋_GB2312"/>
                <w:bCs/>
                <w:spacing w:val="10"/>
                <w:kern w:val="0"/>
                <w:szCs w:val="21"/>
                <w:lang w:val="en-US" w:eastAsia="zh-CN"/>
              </w:rPr>
              <w:t>3</w:t>
            </w:r>
          </w:p>
        </w:tc>
        <w:tc>
          <w:tcPr>
            <w:tcW w:w="7265" w:type="dxa"/>
            <w:tcBorders>
              <w:top w:val="nil"/>
              <w:left w:val="nil"/>
              <w:bottom w:val="single" w:color="auto" w:sz="4" w:space="0"/>
              <w:right w:val="single" w:color="auto" w:sz="4" w:space="0"/>
            </w:tcBorders>
            <w:noWrap w:val="0"/>
            <w:vAlign w:val="center"/>
          </w:tcPr>
          <w:p w14:paraId="6D32FC82">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提供2022年以来采购货物水表（DN15规格）取得的检测报告，检测项目应包括示值误差试验、IP68试验和电磁环境试验（静电放电、电磁场辐射），检测报告为省级检验检测机构出具的得1.5分，检测报告为国家级检验检测机构出具的得3分，该项最多得3分，报告需加盖有CNAS或CMA印章，提供复印件并加盖公章。</w:t>
            </w:r>
          </w:p>
        </w:tc>
      </w:tr>
      <w:tr w14:paraId="2F7EC49B">
        <w:tblPrEx>
          <w:tblCellMar>
            <w:top w:w="0" w:type="dxa"/>
            <w:left w:w="108" w:type="dxa"/>
            <w:bottom w:w="0" w:type="dxa"/>
            <w:right w:w="108" w:type="dxa"/>
          </w:tblCellMar>
        </w:tblPrEx>
        <w:trPr>
          <w:trHeight w:val="558" w:hRule="atLeast"/>
          <w:jc w:val="center"/>
        </w:trPr>
        <w:tc>
          <w:tcPr>
            <w:tcW w:w="320" w:type="dxa"/>
            <w:tcBorders>
              <w:top w:val="nil"/>
              <w:left w:val="single" w:color="auto" w:sz="4" w:space="0"/>
              <w:bottom w:val="single" w:color="auto" w:sz="4" w:space="0"/>
              <w:right w:val="single" w:color="auto" w:sz="4" w:space="0"/>
            </w:tcBorders>
            <w:noWrap/>
            <w:vAlign w:val="center"/>
          </w:tcPr>
          <w:p w14:paraId="579C7F80">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w:t>
            </w:r>
          </w:p>
        </w:tc>
        <w:tc>
          <w:tcPr>
            <w:tcW w:w="922" w:type="dxa"/>
            <w:tcBorders>
              <w:top w:val="nil"/>
              <w:left w:val="single" w:color="auto" w:sz="4" w:space="0"/>
              <w:bottom w:val="single" w:color="auto" w:sz="4" w:space="0"/>
              <w:right w:val="single" w:color="auto" w:sz="4" w:space="0"/>
            </w:tcBorders>
            <w:noWrap/>
            <w:vAlign w:val="center"/>
          </w:tcPr>
          <w:p w14:paraId="577F82D7">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企业实力（</w:t>
            </w:r>
            <w:r>
              <w:rPr>
                <w:rFonts w:hint="eastAsia" w:ascii="仿宋_GB2312" w:hAnsi="仿宋_GB2312" w:eastAsia="仿宋_GB2312" w:cs="仿宋_GB2312"/>
                <w:color w:val="000000"/>
                <w:kern w:val="0"/>
                <w:szCs w:val="21"/>
                <w:lang w:val="en-US" w:eastAsia="zh-CN"/>
              </w:rPr>
              <w:t>13</w:t>
            </w:r>
            <w:r>
              <w:rPr>
                <w:rFonts w:hint="eastAsia" w:ascii="仿宋_GB2312" w:hAnsi="仿宋_GB2312" w:eastAsia="仿宋_GB2312" w:cs="仿宋_GB2312"/>
                <w:color w:val="000000"/>
                <w:kern w:val="0"/>
                <w:szCs w:val="21"/>
              </w:rPr>
              <w:t>）</w:t>
            </w:r>
          </w:p>
        </w:tc>
        <w:tc>
          <w:tcPr>
            <w:tcW w:w="709" w:type="dxa"/>
            <w:tcBorders>
              <w:top w:val="nil"/>
              <w:left w:val="nil"/>
              <w:bottom w:val="single" w:color="auto" w:sz="4" w:space="0"/>
              <w:right w:val="single" w:color="auto" w:sz="4" w:space="0"/>
            </w:tcBorders>
            <w:noWrap/>
            <w:vAlign w:val="center"/>
          </w:tcPr>
          <w:p w14:paraId="1EFE3B59">
            <w:pPr>
              <w:spacing w:line="400" w:lineRule="exact"/>
              <w:jc w:val="center"/>
              <w:rPr>
                <w:rFonts w:hint="default" w:ascii="仿宋_GB2312" w:hAnsi="仿宋_GB2312" w:eastAsia="仿宋_GB2312" w:cs="仿宋_GB2312"/>
                <w:bCs/>
                <w:spacing w:val="10"/>
                <w:kern w:val="0"/>
                <w:szCs w:val="21"/>
                <w:lang w:val="en-US" w:eastAsia="zh-CN"/>
              </w:rPr>
            </w:pPr>
            <w:r>
              <w:rPr>
                <w:rFonts w:hint="eastAsia" w:ascii="仿宋_GB2312" w:hAnsi="仿宋_GB2312" w:eastAsia="仿宋_GB2312" w:cs="仿宋_GB2312"/>
                <w:bCs/>
                <w:spacing w:val="10"/>
                <w:kern w:val="0"/>
                <w:szCs w:val="21"/>
                <w:lang w:val="en-US" w:eastAsia="zh-CN"/>
              </w:rPr>
              <w:t>13</w:t>
            </w:r>
          </w:p>
        </w:tc>
        <w:tc>
          <w:tcPr>
            <w:tcW w:w="7265" w:type="dxa"/>
            <w:tcBorders>
              <w:top w:val="nil"/>
              <w:left w:val="nil"/>
              <w:bottom w:val="single" w:color="auto" w:sz="4" w:space="0"/>
              <w:right w:val="single" w:color="auto" w:sz="4" w:space="0"/>
            </w:tcBorders>
            <w:noWrap w:val="0"/>
            <w:vAlign w:val="center"/>
          </w:tcPr>
          <w:p w14:paraId="16CC0398">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（1）报价人或报价产品制造商自主生产且有相应的检定装置，具有10台（含10台）以上20台以下水表校验设备的</w:t>
            </w:r>
            <w:r>
              <w:rPr>
                <w:rFonts w:hint="eastAsia" w:ascii="仿宋_GB2312" w:hAnsi="仿宋_GB2312" w:eastAsia="仿宋_GB2312" w:cs="仿宋_GB2312"/>
                <w:b/>
                <w:bCs/>
                <w:kern w:val="0"/>
                <w:szCs w:val="21"/>
                <w:lang w:val="en-US" w:eastAsia="zh-CN"/>
              </w:rPr>
              <w:t>得0.5分</w:t>
            </w:r>
            <w:r>
              <w:rPr>
                <w:rFonts w:hint="eastAsia" w:ascii="仿宋_GB2312" w:hAnsi="仿宋_GB2312" w:eastAsia="仿宋_GB2312" w:cs="仿宋_GB2312"/>
                <w:kern w:val="0"/>
                <w:szCs w:val="21"/>
                <w:lang w:val="en-US" w:eastAsia="zh-CN"/>
              </w:rPr>
              <w:t>，具有20台（含20台）以上30台以下水表校验设备的</w:t>
            </w:r>
            <w:r>
              <w:rPr>
                <w:rFonts w:hint="eastAsia" w:ascii="仿宋_GB2312" w:hAnsi="仿宋_GB2312" w:eastAsia="仿宋_GB2312" w:cs="仿宋_GB2312"/>
                <w:b/>
                <w:bCs/>
                <w:kern w:val="0"/>
                <w:szCs w:val="21"/>
                <w:lang w:val="en-US" w:eastAsia="zh-CN"/>
              </w:rPr>
              <w:t>得1分</w:t>
            </w:r>
            <w:r>
              <w:rPr>
                <w:rFonts w:hint="eastAsia" w:ascii="仿宋_GB2312" w:hAnsi="仿宋_GB2312" w:eastAsia="仿宋_GB2312" w:cs="仿宋_GB2312"/>
                <w:kern w:val="0"/>
                <w:szCs w:val="21"/>
                <w:lang w:val="en-US" w:eastAsia="zh-CN"/>
              </w:rPr>
              <w:t>，具有30台（含30台）以上水表的校验设备的</w:t>
            </w:r>
            <w:r>
              <w:rPr>
                <w:rFonts w:hint="eastAsia" w:ascii="仿宋_GB2312" w:hAnsi="仿宋_GB2312" w:eastAsia="仿宋_GB2312" w:cs="仿宋_GB2312"/>
                <w:b/>
                <w:bCs/>
                <w:kern w:val="0"/>
                <w:szCs w:val="21"/>
                <w:lang w:val="en-US" w:eastAsia="zh-CN"/>
              </w:rPr>
              <w:t>得2分</w:t>
            </w:r>
            <w:r>
              <w:rPr>
                <w:rFonts w:hint="eastAsia" w:ascii="仿宋_GB2312" w:hAnsi="仿宋_GB2312" w:eastAsia="仿宋_GB2312" w:cs="仿宋_GB2312"/>
                <w:kern w:val="0"/>
                <w:szCs w:val="21"/>
                <w:lang w:val="en-US" w:eastAsia="zh-CN"/>
              </w:rPr>
              <w:t>，提供设备检定证书复印件并加盖公章，未提供不得分。</w:t>
            </w:r>
          </w:p>
          <w:p w14:paraId="13741455">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（2）报价产品电子模块防护技术要求模块表面工艺进行过纳米涂覆处理，增加防水防尘性能的，</w:t>
            </w:r>
            <w:r>
              <w:rPr>
                <w:rFonts w:hint="eastAsia" w:ascii="仿宋_GB2312" w:hAnsi="仿宋_GB2312" w:eastAsia="仿宋_GB2312" w:cs="仿宋_GB2312"/>
                <w:b/>
                <w:bCs/>
                <w:kern w:val="0"/>
                <w:szCs w:val="21"/>
                <w:lang w:val="en-US" w:eastAsia="zh-CN"/>
              </w:rPr>
              <w:t>得2分，</w:t>
            </w:r>
            <w:r>
              <w:rPr>
                <w:rFonts w:hint="eastAsia" w:ascii="仿宋_GB2312" w:hAnsi="仿宋_GB2312" w:eastAsia="仿宋_GB2312" w:cs="仿宋_GB2312"/>
                <w:kern w:val="0"/>
                <w:szCs w:val="21"/>
                <w:lang w:val="en-US" w:eastAsia="zh-CN"/>
              </w:rPr>
              <w:t>提供纳米涂覆设备的采购合同和发票复印件加盖公章相关证明；</w:t>
            </w:r>
          </w:p>
          <w:p w14:paraId="71788952">
            <w:pPr>
              <w:spacing w:line="400" w:lineRule="exact"/>
              <w:jc w:val="left"/>
              <w:rPr>
                <w:rFonts w:hint="eastAsia" w:ascii="仿宋_GB2312" w:hAnsi="仿宋_GB2312" w:eastAsia="仿宋_GB2312" w:cs="仿宋_GB2312"/>
                <w:b/>
                <w:bCs/>
                <w:kern w:val="0"/>
                <w:szCs w:val="21"/>
                <w:lang w:eastAsia="zh-CN"/>
              </w:rPr>
            </w:pPr>
            <w:r>
              <w:rPr>
                <w:rFonts w:hint="eastAsia" w:ascii="仿宋_GB2312" w:hAnsi="仿宋_GB2312" w:eastAsia="仿宋_GB2312" w:cs="仿宋_GB2312"/>
                <w:b/>
                <w:bCs/>
                <w:kern w:val="0"/>
                <w:szCs w:val="21"/>
                <w:lang w:val="en-US" w:eastAsia="zh-CN"/>
              </w:rPr>
              <w:t>（3）报价</w:t>
            </w:r>
            <w:r>
              <w:rPr>
                <w:rFonts w:hint="eastAsia" w:ascii="仿宋_GB2312" w:hAnsi="仿宋_GB2312" w:eastAsia="仿宋_GB2312" w:cs="仿宋_GB2312"/>
                <w:b/>
                <w:bCs/>
                <w:kern w:val="0"/>
                <w:szCs w:val="21"/>
              </w:rPr>
              <w:t>人或</w:t>
            </w:r>
            <w:r>
              <w:rPr>
                <w:rFonts w:hint="eastAsia" w:ascii="仿宋_GB2312" w:hAnsi="仿宋_GB2312" w:eastAsia="仿宋_GB2312" w:cs="仿宋_GB2312"/>
                <w:b/>
                <w:bCs/>
                <w:kern w:val="0"/>
                <w:szCs w:val="21"/>
                <w:lang w:val="en-US" w:eastAsia="zh-CN"/>
              </w:rPr>
              <w:t>报价</w:t>
            </w:r>
            <w:r>
              <w:rPr>
                <w:rFonts w:hint="eastAsia" w:ascii="仿宋_GB2312" w:hAnsi="仿宋_GB2312" w:eastAsia="仿宋_GB2312" w:cs="仿宋_GB2312"/>
                <w:b/>
                <w:bCs/>
                <w:kern w:val="0"/>
                <w:szCs w:val="21"/>
              </w:rPr>
              <w:t>产品制造商具有信息系统建设和服务能力等级证书，具有CS2级</w:t>
            </w:r>
            <w:r>
              <w:rPr>
                <w:rFonts w:hint="eastAsia" w:ascii="仿宋_GB2312" w:hAnsi="仿宋_GB2312" w:eastAsia="仿宋_GB2312" w:cs="仿宋_GB2312"/>
                <w:b/>
                <w:bCs/>
                <w:kern w:val="0"/>
                <w:szCs w:val="21"/>
                <w:lang w:val="en-US" w:eastAsia="zh-CN"/>
              </w:rPr>
              <w:t>及以下</w:t>
            </w:r>
            <w:r>
              <w:rPr>
                <w:rFonts w:hint="eastAsia" w:ascii="仿宋_GB2312" w:hAnsi="仿宋_GB2312" w:eastAsia="仿宋_GB2312" w:cs="仿宋_GB2312"/>
                <w:b/>
                <w:bCs/>
                <w:kern w:val="0"/>
                <w:szCs w:val="21"/>
              </w:rPr>
              <w:t>得</w:t>
            </w:r>
            <w:r>
              <w:rPr>
                <w:rFonts w:hint="eastAsia" w:ascii="仿宋_GB2312" w:hAnsi="仿宋_GB2312" w:eastAsia="仿宋_GB2312" w:cs="仿宋_GB2312"/>
                <w:b/>
                <w:bCs/>
                <w:kern w:val="0"/>
                <w:szCs w:val="21"/>
                <w:lang w:val="en-US" w:eastAsia="zh-CN"/>
              </w:rPr>
              <w:t>1</w:t>
            </w:r>
            <w:r>
              <w:rPr>
                <w:rFonts w:hint="eastAsia" w:ascii="仿宋_GB2312" w:hAnsi="仿宋_GB2312" w:eastAsia="仿宋_GB2312" w:cs="仿宋_GB2312"/>
                <w:b/>
                <w:bCs/>
                <w:kern w:val="0"/>
                <w:szCs w:val="21"/>
              </w:rPr>
              <w:t>分，CS3级及以上得</w:t>
            </w:r>
            <w:r>
              <w:rPr>
                <w:rFonts w:hint="eastAsia" w:ascii="仿宋_GB2312" w:hAnsi="仿宋_GB2312" w:eastAsia="仿宋_GB2312" w:cs="仿宋_GB2312"/>
                <w:b/>
                <w:bCs/>
                <w:kern w:val="0"/>
                <w:szCs w:val="21"/>
                <w:lang w:val="en-US" w:eastAsia="zh-CN"/>
              </w:rPr>
              <w:t>4</w:t>
            </w:r>
            <w:r>
              <w:rPr>
                <w:rFonts w:hint="eastAsia" w:ascii="仿宋_GB2312" w:hAnsi="仿宋_GB2312" w:eastAsia="仿宋_GB2312" w:cs="仿宋_GB2312"/>
                <w:b/>
                <w:bCs/>
                <w:kern w:val="0"/>
                <w:szCs w:val="21"/>
              </w:rPr>
              <w:t>分</w:t>
            </w:r>
            <w:r>
              <w:rPr>
                <w:rFonts w:hint="eastAsia" w:ascii="仿宋_GB2312" w:hAnsi="仿宋_GB2312" w:eastAsia="仿宋_GB2312" w:cs="仿宋_GB2312"/>
                <w:b/>
                <w:bCs/>
                <w:kern w:val="0"/>
                <w:szCs w:val="21"/>
                <w:lang w:eastAsia="zh-CN"/>
              </w:rPr>
              <w:t>，提供相关复印件和网站（https://www.cs-cas.cn/）查询截图并加盖公章</w:t>
            </w:r>
          </w:p>
          <w:p w14:paraId="3057AC90">
            <w:pPr>
              <w:spacing w:line="400" w:lineRule="exact"/>
              <w:jc w:val="left"/>
              <w:rPr>
                <w:rFonts w:hint="default"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t>（4）报价人或报价产品制造商通过云服务信息安全管理体系认证的，得2分，提供相关复印件加盖公章</w:t>
            </w:r>
          </w:p>
          <w:p w14:paraId="4EDAE77F">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（5）报价人或报价产品制造商具有每有一项发明专利（涉及所报产品技术）得0.5分，最多得2分，提供相关复印件加盖公章。</w:t>
            </w:r>
          </w:p>
          <w:p w14:paraId="716A1551">
            <w:pPr>
              <w:pStyle w:val="2"/>
              <w:ind w:left="0" w:leftChars="0" w:firstLine="0" w:firstLineChars="0"/>
              <w:rPr>
                <w:rFonts w:hint="eastAsia"/>
              </w:rPr>
            </w:pPr>
            <w:r>
              <w:rPr>
                <w:rFonts w:hint="eastAsia" w:ascii="仿宋_GB2312" w:hAnsi="仿宋_GB2312" w:eastAsia="仿宋_GB2312" w:cs="仿宋_GB2312"/>
                <w:b/>
                <w:bCs/>
                <w:kern w:val="0"/>
                <w:szCs w:val="21"/>
                <w:lang w:val="en-US" w:eastAsia="zh-CN"/>
              </w:rPr>
              <w:t>（6）报价人或报价产品制造商通过CMMI研发成熟等级三级及以下的，得0.5分；通过四级及以上认证的，得1分，提供相关复印件加盖公章</w:t>
            </w:r>
          </w:p>
        </w:tc>
      </w:tr>
      <w:tr w14:paraId="3AB6121B">
        <w:tblPrEx>
          <w:tblCellMar>
            <w:top w:w="0" w:type="dxa"/>
            <w:left w:w="108" w:type="dxa"/>
            <w:bottom w:w="0" w:type="dxa"/>
            <w:right w:w="108" w:type="dxa"/>
          </w:tblCellMar>
        </w:tblPrEx>
        <w:trPr>
          <w:trHeight w:val="930" w:hRule="atLeast"/>
          <w:jc w:val="center"/>
        </w:trPr>
        <w:tc>
          <w:tcPr>
            <w:tcW w:w="320" w:type="dxa"/>
            <w:tcBorders>
              <w:top w:val="nil"/>
              <w:left w:val="single" w:color="auto" w:sz="4" w:space="0"/>
              <w:bottom w:val="single" w:color="auto" w:sz="4" w:space="0"/>
              <w:right w:val="single" w:color="auto" w:sz="4" w:space="0"/>
            </w:tcBorders>
            <w:noWrap/>
            <w:vAlign w:val="center"/>
          </w:tcPr>
          <w:p w14:paraId="10D3EFB8">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w:t>
            </w:r>
          </w:p>
        </w:tc>
        <w:tc>
          <w:tcPr>
            <w:tcW w:w="922" w:type="dxa"/>
            <w:tcBorders>
              <w:top w:val="nil"/>
              <w:left w:val="nil"/>
              <w:bottom w:val="single" w:color="auto" w:sz="4" w:space="0"/>
              <w:right w:val="single" w:color="auto" w:sz="4" w:space="0"/>
            </w:tcBorders>
            <w:noWrap w:val="0"/>
            <w:vAlign w:val="center"/>
          </w:tcPr>
          <w:p w14:paraId="7BA4E8EA">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企业业绩（</w:t>
            </w:r>
            <w:r>
              <w:rPr>
                <w:rFonts w:ascii="仿宋_GB2312" w:hAnsi="仿宋_GB2312" w:eastAsia="仿宋_GB2312" w:cs="仿宋_GB2312"/>
                <w:color w:val="000000"/>
                <w:kern w:val="0"/>
                <w:szCs w:val="21"/>
              </w:rPr>
              <w:t>10</w:t>
            </w:r>
            <w:r>
              <w:rPr>
                <w:rFonts w:hint="eastAsia" w:ascii="仿宋_GB2312" w:hAnsi="仿宋_GB2312" w:eastAsia="仿宋_GB2312" w:cs="仿宋_GB2312"/>
                <w:color w:val="000000"/>
                <w:kern w:val="0"/>
                <w:szCs w:val="21"/>
              </w:rPr>
              <w:t>）</w:t>
            </w:r>
          </w:p>
        </w:tc>
        <w:tc>
          <w:tcPr>
            <w:tcW w:w="709" w:type="dxa"/>
            <w:tcBorders>
              <w:top w:val="nil"/>
              <w:left w:val="nil"/>
              <w:bottom w:val="single" w:color="auto" w:sz="4" w:space="0"/>
              <w:right w:val="single" w:color="auto" w:sz="4" w:space="0"/>
            </w:tcBorders>
            <w:noWrap w:val="0"/>
            <w:vAlign w:val="center"/>
          </w:tcPr>
          <w:p w14:paraId="40E70FFA">
            <w:pPr>
              <w:spacing w:line="400" w:lineRule="exact"/>
              <w:jc w:val="center"/>
              <w:rPr>
                <w:rFonts w:hint="eastAsia" w:ascii="仿宋_GB2312" w:hAnsi="仿宋_GB2312" w:eastAsia="仿宋_GB2312" w:cs="仿宋_GB2312"/>
                <w:bCs/>
                <w:spacing w:val="10"/>
                <w:kern w:val="0"/>
                <w:szCs w:val="21"/>
              </w:rPr>
            </w:pPr>
            <w:r>
              <w:rPr>
                <w:rFonts w:ascii="仿宋_GB2312" w:hAnsi="仿宋_GB2312" w:eastAsia="仿宋_GB2312" w:cs="仿宋_GB2312"/>
                <w:bCs/>
                <w:spacing w:val="10"/>
                <w:kern w:val="0"/>
                <w:szCs w:val="21"/>
              </w:rPr>
              <w:t>10</w:t>
            </w:r>
          </w:p>
        </w:tc>
        <w:tc>
          <w:tcPr>
            <w:tcW w:w="7265" w:type="dxa"/>
            <w:tcBorders>
              <w:top w:val="nil"/>
              <w:left w:val="nil"/>
              <w:bottom w:val="single" w:color="auto" w:sz="4" w:space="0"/>
              <w:right w:val="single" w:color="auto" w:sz="4" w:space="0"/>
            </w:tcBorders>
            <w:noWrap w:val="0"/>
            <w:vAlign w:val="center"/>
          </w:tcPr>
          <w:p w14:paraId="71247DB5">
            <w:pPr>
              <w:spacing w:line="400" w:lineRule="exact"/>
              <w:jc w:val="left"/>
              <w:rPr>
                <w:rFonts w:hint="eastAsia" w:ascii="仿宋_GB2312" w:hAnsi="仿宋_GB2312" w:eastAsia="仿宋_GB2312" w:cs="仿宋_GB2312"/>
                <w:bCs/>
                <w:kern w:val="0"/>
                <w:szCs w:val="21"/>
              </w:rPr>
            </w:pPr>
            <w:r>
              <w:rPr>
                <w:rFonts w:hint="eastAsia" w:ascii="仿宋_GB2312" w:hAnsi="仿宋_GB2312" w:eastAsia="仿宋_GB2312" w:cs="仿宋_GB2312"/>
                <w:kern w:val="0"/>
                <w:szCs w:val="21"/>
              </w:rPr>
              <w:t>报价供应商提供自20</w:t>
            </w:r>
            <w:r>
              <w:rPr>
                <w:rFonts w:ascii="仿宋_GB2312" w:hAnsi="仿宋_GB2312" w:eastAsia="仿宋_GB2312" w:cs="仿宋_GB2312"/>
                <w:kern w:val="0"/>
                <w:szCs w:val="21"/>
              </w:rPr>
              <w:t>2</w:t>
            </w:r>
            <w:r>
              <w:rPr>
                <w:rFonts w:hint="eastAsia" w:ascii="仿宋_GB2312" w:hAnsi="仿宋_GB2312" w:eastAsia="仿宋_GB2312" w:cs="仿宋_GB2312"/>
                <w:kern w:val="0"/>
                <w:szCs w:val="21"/>
                <w:lang w:val="en-US" w:eastAsia="zh-CN"/>
              </w:rPr>
              <w:t>2</w:t>
            </w:r>
            <w:r>
              <w:rPr>
                <w:rFonts w:hint="eastAsia" w:ascii="仿宋_GB2312" w:hAnsi="仿宋_GB2312" w:eastAsia="仿宋_GB2312" w:cs="仿宋_GB2312"/>
                <w:kern w:val="0"/>
                <w:szCs w:val="21"/>
              </w:rPr>
              <w:t>年1月1日（指销售合同签订时间）以来的类似规模（单项销售合同中含</w:t>
            </w:r>
            <w:r>
              <w:rPr>
                <w:rFonts w:hint="eastAsia" w:ascii="仿宋_GB2312" w:hAnsi="仿宋_GB2312" w:eastAsia="仿宋_GB2312" w:cs="仿宋_GB2312"/>
                <w:kern w:val="0"/>
                <w:szCs w:val="21"/>
                <w:lang w:val="en-US" w:eastAsia="zh-CN"/>
              </w:rPr>
              <w:t>NB</w:t>
            </w:r>
            <w:r>
              <w:rPr>
                <w:rFonts w:hint="eastAsia" w:ascii="仿宋_GB2312" w:hAnsi="仿宋_GB2312" w:eastAsia="仿宋_GB2312" w:cs="仿宋_GB2312"/>
                <w:kern w:val="0"/>
                <w:szCs w:val="21"/>
              </w:rPr>
              <w:t>水表销售）的销售业绩，</w:t>
            </w:r>
            <w:r>
              <w:rPr>
                <w:rFonts w:hint="eastAsia" w:ascii="仿宋_GB2312" w:hAnsi="仿宋_GB2312" w:eastAsia="仿宋_GB2312" w:cs="仿宋_GB2312"/>
                <w:kern w:val="0"/>
                <w:szCs w:val="21"/>
                <w:lang w:val="en-US" w:eastAsia="zh-CN"/>
              </w:rPr>
              <w:t>50</w:t>
            </w:r>
            <w:r>
              <w:rPr>
                <w:rFonts w:hint="eastAsia" w:ascii="仿宋_GB2312" w:hAnsi="仿宋_GB2312" w:eastAsia="仿宋_GB2312" w:cs="仿宋_GB2312"/>
                <w:kern w:val="0"/>
                <w:szCs w:val="21"/>
              </w:rPr>
              <w:t>万元（含</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0万元）至</w:t>
            </w:r>
            <w:r>
              <w:rPr>
                <w:rFonts w:hint="eastAsia" w:ascii="仿宋_GB2312" w:hAnsi="仿宋_GB2312" w:eastAsia="仿宋_GB2312" w:cs="仿宋_GB2312"/>
                <w:kern w:val="0"/>
                <w:szCs w:val="21"/>
                <w:lang w:val="en-US" w:eastAsia="zh-CN"/>
              </w:rPr>
              <w:t>2</w:t>
            </w:r>
            <w:r>
              <w:rPr>
                <w:rFonts w:hint="eastAsia" w:ascii="仿宋_GB2312" w:hAnsi="仿宋_GB2312" w:eastAsia="仿宋_GB2312" w:cs="仿宋_GB2312"/>
                <w:kern w:val="0"/>
                <w:szCs w:val="21"/>
              </w:rPr>
              <w:t>00万元的类似业绩，每个得</w:t>
            </w:r>
            <w:r>
              <w:rPr>
                <w:rFonts w:hint="eastAsia" w:ascii="仿宋_GB2312" w:hAnsi="仿宋_GB2312" w:eastAsia="仿宋_GB2312" w:cs="仿宋_GB2312"/>
                <w:kern w:val="0"/>
                <w:szCs w:val="21"/>
                <w:lang w:val="en-US" w:eastAsia="zh-CN"/>
              </w:rPr>
              <w:t>0.5</w:t>
            </w:r>
            <w:r>
              <w:rPr>
                <w:rFonts w:hint="eastAsia" w:ascii="仿宋_GB2312" w:hAnsi="仿宋_GB2312" w:eastAsia="仿宋_GB2312" w:cs="仿宋_GB2312"/>
                <w:kern w:val="0"/>
                <w:szCs w:val="21"/>
              </w:rPr>
              <w:t>分；</w:t>
            </w:r>
            <w:r>
              <w:rPr>
                <w:rFonts w:hint="eastAsia" w:ascii="仿宋_GB2312" w:hAnsi="仿宋_GB2312" w:eastAsia="仿宋_GB2312" w:cs="仿宋_GB2312"/>
                <w:kern w:val="0"/>
                <w:szCs w:val="21"/>
                <w:lang w:val="en-US" w:eastAsia="zh-CN"/>
              </w:rPr>
              <w:t>200</w:t>
            </w:r>
            <w:r>
              <w:rPr>
                <w:rFonts w:hint="eastAsia" w:ascii="仿宋_GB2312" w:hAnsi="仿宋_GB2312" w:eastAsia="仿宋_GB2312" w:cs="仿宋_GB2312"/>
                <w:kern w:val="0"/>
                <w:szCs w:val="21"/>
              </w:rPr>
              <w:t>万元（含</w:t>
            </w:r>
            <w:r>
              <w:rPr>
                <w:rFonts w:hint="eastAsia" w:ascii="仿宋_GB2312" w:hAnsi="仿宋_GB2312" w:eastAsia="仿宋_GB2312" w:cs="仿宋_GB2312"/>
                <w:kern w:val="0"/>
                <w:szCs w:val="21"/>
                <w:lang w:val="en-US" w:eastAsia="zh-CN"/>
              </w:rPr>
              <w:t>200</w:t>
            </w:r>
            <w:r>
              <w:rPr>
                <w:rFonts w:hint="eastAsia" w:ascii="仿宋_GB2312" w:hAnsi="仿宋_GB2312" w:eastAsia="仿宋_GB2312" w:cs="仿宋_GB2312"/>
                <w:kern w:val="0"/>
                <w:szCs w:val="21"/>
              </w:rPr>
              <w:t>万元）至</w:t>
            </w:r>
            <w:r>
              <w:rPr>
                <w:rFonts w:hint="eastAsia" w:ascii="仿宋_GB2312" w:hAnsi="仿宋_GB2312" w:eastAsia="仿宋_GB2312" w:cs="仿宋_GB2312"/>
                <w:kern w:val="0"/>
                <w:szCs w:val="21"/>
                <w:lang w:val="en-US" w:eastAsia="zh-CN"/>
              </w:rPr>
              <w:t>400</w:t>
            </w:r>
            <w:r>
              <w:rPr>
                <w:rFonts w:hint="eastAsia" w:ascii="仿宋_GB2312" w:hAnsi="仿宋_GB2312" w:eastAsia="仿宋_GB2312" w:cs="仿宋_GB2312"/>
                <w:kern w:val="0"/>
                <w:szCs w:val="21"/>
              </w:rPr>
              <w:t>万元的类似业绩，每个得</w:t>
            </w:r>
            <w:r>
              <w:rPr>
                <w:rFonts w:hint="eastAsia" w:ascii="仿宋_GB2312" w:hAnsi="仿宋_GB2312" w:eastAsia="仿宋_GB2312" w:cs="仿宋_GB2312"/>
                <w:kern w:val="0"/>
                <w:szCs w:val="21"/>
                <w:lang w:val="en-US" w:eastAsia="zh-CN"/>
              </w:rPr>
              <w:t>1</w:t>
            </w:r>
            <w:r>
              <w:rPr>
                <w:rFonts w:hint="eastAsia" w:ascii="仿宋_GB2312" w:hAnsi="仿宋_GB2312" w:eastAsia="仿宋_GB2312" w:cs="仿宋_GB2312"/>
                <w:kern w:val="0"/>
                <w:szCs w:val="21"/>
              </w:rPr>
              <w:t>分；</w:t>
            </w:r>
            <w:r>
              <w:rPr>
                <w:rFonts w:hint="eastAsia" w:ascii="仿宋_GB2312" w:hAnsi="仿宋_GB2312" w:eastAsia="仿宋_GB2312" w:cs="仿宋_GB2312"/>
                <w:kern w:val="0"/>
                <w:szCs w:val="21"/>
                <w:lang w:val="en-US" w:eastAsia="zh-CN"/>
              </w:rPr>
              <w:t>400</w:t>
            </w:r>
            <w:r>
              <w:rPr>
                <w:rFonts w:hint="eastAsia" w:ascii="仿宋_GB2312" w:hAnsi="仿宋_GB2312" w:eastAsia="仿宋_GB2312" w:cs="仿宋_GB2312"/>
                <w:kern w:val="0"/>
                <w:szCs w:val="21"/>
              </w:rPr>
              <w:t>万元（含</w:t>
            </w:r>
            <w:r>
              <w:rPr>
                <w:rFonts w:hint="eastAsia" w:ascii="仿宋_GB2312" w:hAnsi="仿宋_GB2312" w:eastAsia="仿宋_GB2312" w:cs="仿宋_GB2312"/>
                <w:kern w:val="0"/>
                <w:szCs w:val="21"/>
                <w:lang w:val="en-US" w:eastAsia="zh-CN"/>
              </w:rPr>
              <w:t>4</w:t>
            </w:r>
            <w:r>
              <w:rPr>
                <w:rFonts w:hint="eastAsia" w:ascii="仿宋_GB2312" w:hAnsi="仿宋_GB2312" w:eastAsia="仿宋_GB2312" w:cs="仿宋_GB2312"/>
                <w:kern w:val="0"/>
                <w:szCs w:val="21"/>
              </w:rPr>
              <w:t>00万元）至</w:t>
            </w:r>
            <w:r>
              <w:rPr>
                <w:rFonts w:hint="eastAsia" w:ascii="仿宋_GB2312" w:hAnsi="仿宋_GB2312" w:eastAsia="仿宋_GB2312" w:cs="仿宋_GB2312"/>
                <w:kern w:val="0"/>
                <w:szCs w:val="21"/>
                <w:lang w:val="en-US" w:eastAsia="zh-CN"/>
              </w:rPr>
              <w:t>6</w:t>
            </w:r>
            <w:r>
              <w:rPr>
                <w:rFonts w:hint="eastAsia" w:ascii="仿宋_GB2312" w:hAnsi="仿宋_GB2312" w:eastAsia="仿宋_GB2312" w:cs="仿宋_GB2312"/>
                <w:kern w:val="0"/>
                <w:szCs w:val="21"/>
              </w:rPr>
              <w:t>00万元的类似业绩，每个得1.5分</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6</w:t>
            </w:r>
            <w:r>
              <w:rPr>
                <w:rFonts w:hint="eastAsia" w:ascii="仿宋_GB2312" w:hAnsi="仿宋_GB2312" w:eastAsia="仿宋_GB2312" w:cs="仿宋_GB2312"/>
                <w:kern w:val="0"/>
                <w:szCs w:val="21"/>
              </w:rPr>
              <w:t>00万元及以上类似业绩，每个得2.5分；</w:t>
            </w:r>
            <w:r>
              <w:rPr>
                <w:rFonts w:hint="eastAsia" w:ascii="仿宋_GB2312" w:hAnsi="仿宋_GB2312" w:eastAsia="仿宋_GB2312" w:cs="仿宋_GB2312"/>
                <w:bCs/>
                <w:kern w:val="0"/>
                <w:szCs w:val="21"/>
              </w:rPr>
              <w:t>须同时提供销售合同和相应中标通知书（无中标通知书的，须提供网上公示信息的截图，截图须体现报价供应商为成交人；销售合同为年度或单价合同的，还须提供与合同期内相对应的销售发票），该项合同最多提供6份，如果提供数量超过6份，则按照合同金额从大到小选出前六个参与该项评分</w:t>
            </w:r>
            <w:r>
              <w:rPr>
                <w:rFonts w:hint="eastAsia" w:ascii="仿宋_GB2312" w:hAnsi="仿宋_GB2312" w:eastAsia="仿宋_GB2312" w:cs="仿宋_GB2312"/>
                <w:bCs/>
                <w:kern w:val="0"/>
                <w:szCs w:val="21"/>
                <w:lang w:eastAsia="zh-CN"/>
              </w:rPr>
              <w:t>，</w:t>
            </w:r>
            <w:r>
              <w:rPr>
                <w:rFonts w:hint="eastAsia" w:ascii="仿宋_GB2312" w:hAnsi="仿宋_GB2312" w:eastAsia="仿宋_GB2312" w:cs="仿宋_GB2312"/>
                <w:kern w:val="0"/>
                <w:szCs w:val="21"/>
              </w:rPr>
              <w:t>此项最多得10分。</w:t>
            </w:r>
          </w:p>
        </w:tc>
      </w:tr>
      <w:tr w14:paraId="5A55B909">
        <w:tblPrEx>
          <w:tblCellMar>
            <w:top w:w="0" w:type="dxa"/>
            <w:left w:w="108" w:type="dxa"/>
            <w:bottom w:w="0" w:type="dxa"/>
            <w:right w:w="108" w:type="dxa"/>
          </w:tblCellMar>
        </w:tblPrEx>
        <w:trPr>
          <w:trHeight w:val="930" w:hRule="atLeast"/>
          <w:jc w:val="center"/>
        </w:trPr>
        <w:tc>
          <w:tcPr>
            <w:tcW w:w="320" w:type="dxa"/>
            <w:tcBorders>
              <w:top w:val="nil"/>
              <w:left w:val="single" w:color="auto" w:sz="4" w:space="0"/>
              <w:bottom w:val="single" w:color="auto" w:sz="4" w:space="0"/>
              <w:right w:val="single" w:color="auto" w:sz="4" w:space="0"/>
            </w:tcBorders>
            <w:noWrap/>
            <w:vAlign w:val="center"/>
          </w:tcPr>
          <w:p w14:paraId="7758318D">
            <w:pPr>
              <w:widowControl/>
              <w:spacing w:line="400" w:lineRule="exact"/>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4</w:t>
            </w:r>
          </w:p>
        </w:tc>
        <w:tc>
          <w:tcPr>
            <w:tcW w:w="922" w:type="dxa"/>
            <w:tcBorders>
              <w:top w:val="nil"/>
              <w:left w:val="nil"/>
              <w:bottom w:val="single" w:color="auto" w:sz="4" w:space="0"/>
              <w:right w:val="single" w:color="auto" w:sz="4" w:space="0"/>
            </w:tcBorders>
            <w:shd w:val="clear" w:color="auto" w:fill="auto"/>
            <w:noWrap w:val="0"/>
            <w:vAlign w:val="center"/>
          </w:tcPr>
          <w:p w14:paraId="0EFF132F">
            <w:pPr>
              <w:numPr>
                <w:ilvl w:val="0"/>
                <w:numId w:val="0"/>
              </w:numPr>
              <w:spacing w:line="400" w:lineRule="exact"/>
              <w:ind w:left="0" w:leftChars="0" w:firstLine="0" w:firstLineChars="0"/>
              <w:jc w:val="left"/>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质量保障（10）</w:t>
            </w:r>
          </w:p>
        </w:tc>
        <w:tc>
          <w:tcPr>
            <w:tcW w:w="709" w:type="dxa"/>
            <w:tcBorders>
              <w:top w:val="nil"/>
              <w:left w:val="nil"/>
              <w:bottom w:val="single" w:color="auto" w:sz="4" w:space="0"/>
              <w:right w:val="single" w:color="auto" w:sz="4" w:space="0"/>
            </w:tcBorders>
            <w:shd w:val="clear" w:color="auto" w:fill="auto"/>
            <w:noWrap w:val="0"/>
            <w:vAlign w:val="center"/>
          </w:tcPr>
          <w:p w14:paraId="289602C5">
            <w:pPr>
              <w:numPr>
                <w:ilvl w:val="0"/>
                <w:numId w:val="0"/>
              </w:numPr>
              <w:spacing w:line="400" w:lineRule="exact"/>
              <w:ind w:left="0" w:leftChars="0" w:firstLine="0" w:firstLineChars="0"/>
              <w:jc w:val="left"/>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10</w:t>
            </w:r>
          </w:p>
        </w:tc>
        <w:tc>
          <w:tcPr>
            <w:tcW w:w="7265" w:type="dxa"/>
            <w:tcBorders>
              <w:top w:val="nil"/>
              <w:left w:val="nil"/>
              <w:bottom w:val="single" w:color="auto" w:sz="4" w:space="0"/>
              <w:right w:val="single" w:color="auto" w:sz="4" w:space="0"/>
            </w:tcBorders>
            <w:shd w:val="clear" w:color="auto" w:fill="auto"/>
            <w:noWrap w:val="0"/>
            <w:vAlign w:val="center"/>
          </w:tcPr>
          <w:p w14:paraId="066B68E4">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报价人或报价产品制造商应具备完善的产品质量把控措施和设备，根据报价人提供的质量保证措施的完整性、先进性等进行综合打分。</w:t>
            </w:r>
          </w:p>
          <w:p w14:paraId="208E7A21">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1、方案完整、适用性强、质量环节把控严格得10分；</w:t>
            </w:r>
          </w:p>
          <w:p w14:paraId="23D3F1FF">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2、方案较完整、质量环节把控较严格得6分；</w:t>
            </w:r>
            <w:r>
              <w:rPr>
                <w:rFonts w:hint="eastAsia" w:ascii="仿宋_GB2312" w:hAnsi="仿宋_GB2312" w:eastAsia="仿宋_GB2312" w:cs="仿宋_GB2312"/>
                <w:kern w:val="0"/>
                <w:szCs w:val="21"/>
                <w:lang w:val="en-US" w:eastAsia="zh-CN"/>
              </w:rPr>
              <w:tab/>
            </w:r>
          </w:p>
          <w:p w14:paraId="3BF027DD">
            <w:pPr>
              <w:spacing w:line="40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3、方案不完整、适用性差、质量把控一般，得4分。</w:t>
            </w:r>
          </w:p>
          <w:p w14:paraId="60D49F78">
            <w:pPr>
              <w:spacing w:line="400" w:lineRule="exact"/>
              <w:jc w:val="left"/>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kern w:val="0"/>
                <w:szCs w:val="21"/>
                <w:lang w:val="en-US" w:eastAsia="zh-CN"/>
              </w:rPr>
              <w:t>4、方案未提供不得分</w:t>
            </w:r>
          </w:p>
        </w:tc>
      </w:tr>
      <w:tr w14:paraId="6463274B">
        <w:tblPrEx>
          <w:tblCellMar>
            <w:top w:w="0" w:type="dxa"/>
            <w:left w:w="108" w:type="dxa"/>
            <w:bottom w:w="0" w:type="dxa"/>
            <w:right w:w="108" w:type="dxa"/>
          </w:tblCellMar>
        </w:tblPrEx>
        <w:trPr>
          <w:trHeight w:val="603" w:hRule="atLeast"/>
          <w:jc w:val="center"/>
        </w:trPr>
        <w:tc>
          <w:tcPr>
            <w:tcW w:w="320" w:type="dxa"/>
            <w:tcBorders>
              <w:top w:val="single" w:color="auto" w:sz="4" w:space="0"/>
              <w:left w:val="single" w:color="auto" w:sz="4" w:space="0"/>
              <w:bottom w:val="single" w:color="000000" w:sz="4" w:space="0"/>
              <w:right w:val="single" w:color="auto" w:sz="4" w:space="0"/>
            </w:tcBorders>
            <w:noWrap/>
            <w:vAlign w:val="center"/>
          </w:tcPr>
          <w:p w14:paraId="4109C21F">
            <w:pPr>
              <w:widowControl/>
              <w:spacing w:line="40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5</w:t>
            </w:r>
          </w:p>
        </w:tc>
        <w:tc>
          <w:tcPr>
            <w:tcW w:w="922" w:type="dxa"/>
            <w:tcBorders>
              <w:top w:val="single" w:color="auto" w:sz="4" w:space="0"/>
              <w:left w:val="single" w:color="auto" w:sz="4" w:space="0"/>
              <w:bottom w:val="single" w:color="000000" w:sz="4" w:space="0"/>
              <w:right w:val="single" w:color="auto" w:sz="4" w:space="0"/>
            </w:tcBorders>
            <w:noWrap w:val="0"/>
            <w:vAlign w:val="center"/>
          </w:tcPr>
          <w:p w14:paraId="3AFFCDBC">
            <w:pPr>
              <w:widowControl/>
              <w:spacing w:line="4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售后保障（</w:t>
            </w:r>
            <w:r>
              <w:rPr>
                <w:rFonts w:hint="eastAsia" w:ascii="仿宋_GB2312" w:hAnsi="仿宋_GB2312" w:eastAsia="仿宋_GB2312" w:cs="仿宋_GB2312"/>
                <w:kern w:val="0"/>
                <w:szCs w:val="21"/>
                <w:lang w:val="en-US" w:eastAsia="zh-CN"/>
              </w:rPr>
              <w:t>7</w:t>
            </w:r>
            <w:r>
              <w:rPr>
                <w:rFonts w:hint="eastAsia" w:ascii="仿宋_GB2312" w:hAnsi="仿宋_GB2312" w:eastAsia="仿宋_GB2312" w:cs="仿宋_GB2312"/>
                <w:kern w:val="0"/>
                <w:szCs w:val="21"/>
              </w:rPr>
              <w:t>）</w:t>
            </w:r>
          </w:p>
        </w:tc>
        <w:tc>
          <w:tcPr>
            <w:tcW w:w="709" w:type="dxa"/>
            <w:tcBorders>
              <w:top w:val="nil"/>
              <w:left w:val="nil"/>
              <w:bottom w:val="single" w:color="auto" w:sz="4" w:space="0"/>
              <w:right w:val="single" w:color="auto" w:sz="4" w:space="0"/>
            </w:tcBorders>
            <w:noWrap w:val="0"/>
            <w:vAlign w:val="center"/>
          </w:tcPr>
          <w:p w14:paraId="2E88C5FB">
            <w:pPr>
              <w:spacing w:line="400" w:lineRule="exact"/>
              <w:jc w:val="center"/>
              <w:rPr>
                <w:rFonts w:hint="eastAsia" w:ascii="仿宋_GB2312" w:hAnsi="仿宋_GB2312" w:eastAsia="仿宋_GB2312" w:cs="仿宋_GB2312"/>
                <w:bCs/>
                <w:spacing w:val="10"/>
                <w:kern w:val="0"/>
                <w:szCs w:val="21"/>
                <w:lang w:eastAsia="zh-CN"/>
              </w:rPr>
            </w:pPr>
            <w:r>
              <w:rPr>
                <w:rFonts w:hint="eastAsia" w:ascii="仿宋_GB2312" w:hAnsi="仿宋_GB2312" w:eastAsia="仿宋_GB2312" w:cs="仿宋_GB2312"/>
                <w:bCs/>
                <w:spacing w:val="10"/>
                <w:kern w:val="0"/>
                <w:szCs w:val="21"/>
                <w:lang w:val="en-US" w:eastAsia="zh-CN"/>
              </w:rPr>
              <w:t>7</w:t>
            </w:r>
          </w:p>
        </w:tc>
        <w:tc>
          <w:tcPr>
            <w:tcW w:w="7265" w:type="dxa"/>
            <w:tcBorders>
              <w:top w:val="nil"/>
              <w:left w:val="nil"/>
              <w:bottom w:val="single" w:color="auto" w:sz="4" w:space="0"/>
              <w:right w:val="single" w:color="auto" w:sz="4" w:space="0"/>
            </w:tcBorders>
            <w:noWrap w:val="0"/>
            <w:vAlign w:val="center"/>
          </w:tcPr>
          <w:p w14:paraId="638CC6F1">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根据</w:t>
            </w:r>
            <w:r>
              <w:rPr>
                <w:rFonts w:hint="eastAsia" w:ascii="仿宋_GB2312" w:hAnsi="仿宋_GB2312" w:eastAsia="仿宋_GB2312" w:cs="仿宋_GB2312"/>
                <w:kern w:val="0"/>
                <w:szCs w:val="21"/>
                <w:lang w:val="en-US" w:eastAsia="zh-CN"/>
              </w:rPr>
              <w:t>报价</w:t>
            </w:r>
            <w:r>
              <w:rPr>
                <w:rFonts w:hint="eastAsia" w:ascii="仿宋_GB2312" w:hAnsi="仿宋_GB2312" w:eastAsia="仿宋_GB2312" w:cs="仿宋_GB2312"/>
                <w:kern w:val="0"/>
                <w:szCs w:val="21"/>
              </w:rPr>
              <w:t>人提供的售后服务方案的完整性、可行性和具体性进行综合评定：</w:t>
            </w:r>
          </w:p>
          <w:p w14:paraId="7CC90C62">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1</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b/>
                <w:bCs/>
                <w:kern w:val="0"/>
                <w:szCs w:val="21"/>
              </w:rPr>
              <w:t>本地化服务便利</w:t>
            </w:r>
            <w:r>
              <w:rPr>
                <w:rFonts w:hint="eastAsia" w:ascii="仿宋_GB2312" w:hAnsi="仿宋_GB2312" w:eastAsia="仿宋_GB2312" w:cs="仿宋_GB2312"/>
                <w:b/>
                <w:bCs/>
                <w:kern w:val="0"/>
                <w:szCs w:val="21"/>
                <w:lang w:eastAsia="zh-CN"/>
              </w:rPr>
              <w:t>（</w:t>
            </w:r>
            <w:r>
              <w:rPr>
                <w:rFonts w:hint="eastAsia" w:ascii="仿宋_GB2312" w:hAnsi="仿宋_GB2312" w:eastAsia="仿宋_GB2312" w:cs="仿宋_GB2312"/>
                <w:b/>
                <w:bCs/>
                <w:kern w:val="0"/>
                <w:szCs w:val="21"/>
                <w:lang w:val="en-US" w:eastAsia="zh-CN"/>
              </w:rPr>
              <w:t>2小时以内到位</w:t>
            </w:r>
            <w:r>
              <w:rPr>
                <w:rFonts w:hint="eastAsia" w:ascii="仿宋_GB2312" w:hAnsi="仿宋_GB2312" w:eastAsia="仿宋_GB2312" w:cs="仿宋_GB2312"/>
                <w:b/>
                <w:bCs/>
                <w:kern w:val="0"/>
                <w:szCs w:val="21"/>
                <w:lang w:eastAsia="zh-CN"/>
              </w:rPr>
              <w:t>）</w:t>
            </w:r>
            <w:r>
              <w:rPr>
                <w:rFonts w:hint="eastAsia" w:ascii="仿宋_GB2312" w:hAnsi="仿宋_GB2312" w:eastAsia="仿宋_GB2312" w:cs="仿宋_GB2312"/>
                <w:b/>
                <w:bCs/>
                <w:kern w:val="0"/>
                <w:szCs w:val="21"/>
              </w:rPr>
              <w:t>，人员配置充足，完全满足售后维护服务要求，</w:t>
            </w:r>
            <w:r>
              <w:rPr>
                <w:rFonts w:hint="eastAsia" w:ascii="仿宋_GB2312" w:hAnsi="仿宋_GB2312" w:eastAsia="仿宋_GB2312" w:cs="仿宋_GB2312"/>
                <w:kern w:val="0"/>
                <w:szCs w:val="21"/>
              </w:rPr>
              <w:t>故障处理流程、维护保障流程及组织架构，有详细的服务方案、服务流程，总体方案最优秀的，得</w:t>
            </w:r>
            <w:r>
              <w:rPr>
                <w:rFonts w:hint="eastAsia" w:ascii="仿宋_GB2312" w:hAnsi="仿宋_GB2312" w:eastAsia="仿宋_GB2312" w:cs="仿宋_GB2312"/>
                <w:kern w:val="0"/>
                <w:szCs w:val="21"/>
                <w:lang w:val="en-US" w:eastAsia="zh-CN"/>
              </w:rPr>
              <w:t>7</w:t>
            </w:r>
            <w:r>
              <w:rPr>
                <w:rFonts w:hint="eastAsia" w:ascii="仿宋_GB2312" w:hAnsi="仿宋_GB2312" w:eastAsia="仿宋_GB2312" w:cs="仿宋_GB2312"/>
                <w:kern w:val="0"/>
                <w:szCs w:val="21"/>
              </w:rPr>
              <w:t>分；</w:t>
            </w:r>
          </w:p>
          <w:p w14:paraId="3F58EE1A">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2</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rPr>
              <w:t>满足售后维护服务要求，能够提供故障处理流程、维护保障流程及组织架构，有较为详细的售后服务方案、售后服务流程，总体方案良好的，得</w:t>
            </w:r>
            <w:r>
              <w:rPr>
                <w:rFonts w:hint="eastAsia" w:ascii="仿宋_GB2312" w:hAnsi="仿宋_GB2312" w:eastAsia="仿宋_GB2312" w:cs="仿宋_GB2312"/>
                <w:kern w:val="0"/>
                <w:szCs w:val="21"/>
                <w:lang w:val="en-US" w:eastAsia="zh-CN"/>
              </w:rPr>
              <w:t>2-4</w:t>
            </w:r>
            <w:r>
              <w:rPr>
                <w:rFonts w:hint="eastAsia" w:ascii="仿宋_GB2312" w:hAnsi="仿宋_GB2312" w:eastAsia="仿宋_GB2312" w:cs="仿宋_GB2312"/>
                <w:kern w:val="0"/>
                <w:szCs w:val="21"/>
              </w:rPr>
              <w:t>分；</w:t>
            </w:r>
          </w:p>
          <w:p w14:paraId="0C8858F6">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3</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rPr>
              <w:t>基本满足售后维护服务要求，售后维护服务不够详细，总体方案一般的，得</w:t>
            </w:r>
            <w:r>
              <w:rPr>
                <w:rFonts w:hint="eastAsia" w:ascii="仿宋_GB2312" w:hAnsi="仿宋_GB2312" w:eastAsia="仿宋_GB2312" w:cs="仿宋_GB2312"/>
                <w:kern w:val="0"/>
                <w:szCs w:val="21"/>
                <w:lang w:val="en-US" w:eastAsia="zh-CN"/>
              </w:rPr>
              <w:t>1</w:t>
            </w:r>
            <w:r>
              <w:rPr>
                <w:rFonts w:hint="eastAsia" w:ascii="仿宋_GB2312" w:hAnsi="仿宋_GB2312" w:eastAsia="仿宋_GB2312" w:cs="仿宋_GB2312"/>
                <w:kern w:val="0"/>
                <w:szCs w:val="21"/>
              </w:rPr>
              <w:t xml:space="preserve"> 分；</w:t>
            </w:r>
          </w:p>
          <w:p w14:paraId="2D98373B">
            <w:pPr>
              <w:spacing w:line="4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4</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rPr>
              <w:t>售后方案未提供不得分</w:t>
            </w:r>
          </w:p>
        </w:tc>
      </w:tr>
    </w:tbl>
    <w:p w14:paraId="61B84D86">
      <w:pPr>
        <w:keepNext w:val="0"/>
        <w:keepLines w:val="0"/>
        <w:pageBreakBefore w:val="0"/>
        <w:widowControl w:val="0"/>
        <w:kinsoku/>
        <w:wordWrap/>
        <w:overflowPunct/>
        <w:topLinePunct w:val="0"/>
        <w:autoSpaceDE/>
        <w:autoSpaceDN/>
        <w:bidi w:val="0"/>
        <w:adjustRightInd/>
        <w:snapToGrid/>
        <w:spacing w:line="480" w:lineRule="exact"/>
        <w:ind w:firstLine="360" w:firstLineChars="150"/>
        <w:textAlignment w:val="auto"/>
        <w:outlineLvl w:val="0"/>
        <w:rPr>
          <w:rFonts w:hint="eastAsia" w:ascii="宋体" w:hAnsi="宋体" w:cs="宋体"/>
          <w:sz w:val="24"/>
        </w:rPr>
      </w:pPr>
      <w:r>
        <w:rPr>
          <w:rFonts w:hint="eastAsia" w:ascii="宋体" w:hAnsi="宋体" w:cs="宋体"/>
          <w:sz w:val="24"/>
        </w:rPr>
        <w:t>(二）商务价格分：</w:t>
      </w:r>
      <w:r>
        <w:rPr>
          <w:rFonts w:hint="eastAsia" w:ascii="宋体" w:hAnsi="宋体" w:cs="宋体"/>
          <w:sz w:val="24"/>
          <w:lang w:val="en-US" w:eastAsia="zh-CN"/>
        </w:rPr>
        <w:t>45</w:t>
      </w:r>
      <w:r>
        <w:rPr>
          <w:rFonts w:hint="eastAsia" w:ascii="宋体" w:hAnsi="宋体" w:cs="宋体"/>
          <w:sz w:val="24"/>
        </w:rPr>
        <w:t>分</w:t>
      </w:r>
    </w:p>
    <w:p w14:paraId="653414F8">
      <w:pPr>
        <w:keepNext w:val="0"/>
        <w:keepLines w:val="0"/>
        <w:pageBreakBefore w:val="0"/>
        <w:widowControl w:val="0"/>
        <w:kinsoku/>
        <w:wordWrap/>
        <w:overflowPunct/>
        <w:topLinePunct w:val="0"/>
        <w:autoSpaceDE/>
        <w:autoSpaceDN/>
        <w:bidi w:val="0"/>
        <w:adjustRightInd/>
        <w:snapToGrid/>
        <w:spacing w:line="480" w:lineRule="exact"/>
        <w:ind w:firstLine="360" w:firstLineChars="150"/>
        <w:textAlignment w:val="auto"/>
        <w:outlineLvl w:val="0"/>
        <w:rPr>
          <w:rFonts w:hint="eastAsia" w:ascii="宋体" w:hAnsi="宋体" w:cs="宋体"/>
          <w:sz w:val="24"/>
        </w:rPr>
      </w:pPr>
      <w:r>
        <w:rPr>
          <w:rFonts w:hint="eastAsia" w:ascii="宋体" w:hAnsi="宋体" w:cs="宋体"/>
          <w:sz w:val="24"/>
        </w:rPr>
        <w:t>当有效报价供应商&gt;5家时，在所有报价供应商的投标报价中去掉一个最高价和一个最低价的算术平均值为评审基价，当报价供应商≤5家时，按所有报价供应商报价的算术平均值为评审基价。报价供应商的报价等于评审基价的，得45分。</w:t>
      </w:r>
    </w:p>
    <w:p w14:paraId="0D6FDF7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cs="宋体"/>
          <w:sz w:val="24"/>
          <w:highlight w:val="none"/>
        </w:rPr>
      </w:pPr>
      <w:r>
        <w:rPr>
          <w:rFonts w:hint="eastAsia" w:ascii="宋体" w:hAnsi="宋体" w:cs="宋体"/>
          <w:sz w:val="24"/>
        </w:rPr>
        <w:t>报价每高于评标基价1%在</w:t>
      </w:r>
      <w:r>
        <w:rPr>
          <w:rFonts w:hint="eastAsia" w:ascii="宋体" w:hAnsi="宋体" w:cs="宋体"/>
          <w:sz w:val="24"/>
          <w:lang w:val="en-US" w:eastAsia="zh-CN"/>
        </w:rPr>
        <w:t>45</w:t>
      </w:r>
      <w:r>
        <w:rPr>
          <w:rFonts w:hint="eastAsia" w:ascii="宋体" w:hAnsi="宋体" w:cs="宋体"/>
          <w:sz w:val="24"/>
        </w:rPr>
        <w:t>分基础上扣0.3分（不足1%部分按比例进行扣分）；报价每低于评标基价1%在</w:t>
      </w:r>
      <w:r>
        <w:rPr>
          <w:rFonts w:hint="eastAsia" w:ascii="宋体" w:hAnsi="宋体" w:cs="宋体"/>
          <w:sz w:val="24"/>
          <w:lang w:val="en-US" w:eastAsia="zh-CN"/>
        </w:rPr>
        <w:t>45</w:t>
      </w:r>
      <w:r>
        <w:rPr>
          <w:rFonts w:hint="eastAsia" w:ascii="宋体" w:hAnsi="宋体" w:cs="宋体"/>
          <w:sz w:val="24"/>
        </w:rPr>
        <w:t>分基础上扣0.2分（不足1%时按比例进行扣分）。（小数点后保留两位小数）</w:t>
      </w:r>
    </w:p>
    <w:p w14:paraId="0A92C16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14:paraId="397B41BD">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w:t>
      </w:r>
      <w:r>
        <w:rPr>
          <w:rFonts w:hint="eastAsia" w:ascii="宋体" w:hAnsi="宋体"/>
          <w:b/>
          <w:sz w:val="28"/>
          <w:highlight w:val="none"/>
          <w:lang w:val="en-US" w:eastAsia="zh-CN"/>
        </w:rPr>
        <w:t>合同金额</w:t>
      </w:r>
      <w:r>
        <w:rPr>
          <w:rFonts w:hint="eastAsia" w:ascii="宋体" w:hAnsi="宋体"/>
          <w:b/>
          <w:sz w:val="28"/>
          <w:highlight w:val="none"/>
        </w:rPr>
        <w:t>的</w:t>
      </w:r>
      <w:r>
        <w:rPr>
          <w:rFonts w:hint="eastAsia" w:ascii="宋体" w:hAnsi="宋体"/>
          <w:b/>
          <w:sz w:val="28"/>
          <w:highlight w:val="none"/>
          <w:lang w:val="en-US" w:eastAsia="zh-CN"/>
        </w:rPr>
        <w:t>2</w:t>
      </w:r>
      <w:r>
        <w:rPr>
          <w:rFonts w:hint="eastAsia" w:ascii="宋体" w:hAnsi="宋体"/>
          <w:b/>
          <w:sz w:val="28"/>
          <w:highlight w:val="none"/>
        </w:rPr>
        <w:t>%。</w:t>
      </w:r>
    </w:p>
    <w:p w14:paraId="4921164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14:paraId="5C015C83">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若不交纳履约保证金或不提交履约保函不签订合同的列入采购人黑名单，2年之内不可参加采购人所采购任何的项目。</w:t>
      </w:r>
    </w:p>
    <w:p w14:paraId="784B9C21">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本项目成交供应商将在采购合同签订时缴纳履约保证金。</w:t>
      </w:r>
    </w:p>
    <w:p w14:paraId="750DF1A5">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ascii="宋体" w:hAnsi="宋体"/>
          <w:b/>
          <w:sz w:val="28"/>
          <w:highlight w:val="none"/>
        </w:rPr>
        <w:t>后</w:t>
      </w:r>
      <w:r>
        <w:rPr>
          <w:rFonts w:hint="eastAsia" w:ascii="宋体" w:hAnsi="宋体"/>
          <w:b/>
          <w:sz w:val="28"/>
          <w:highlight w:val="none"/>
        </w:rPr>
        <w:t>结束，履约保证金全额无息退还成交供应商。</w:t>
      </w:r>
    </w:p>
    <w:p w14:paraId="32A1088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14:paraId="19A6415D">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14:paraId="5A1799E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14:paraId="1ECC1D1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14:paraId="5144F44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14:paraId="72AD334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14:paraId="750586B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14:paraId="468CEE7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11</w:t>
      </w:r>
      <w:r>
        <w:rPr>
          <w:rFonts w:hint="eastAsia" w:ascii="宋体" w:hAnsi="宋体"/>
          <w:sz w:val="28"/>
          <w:highlight w:val="none"/>
        </w:rPr>
        <w:t>月</w:t>
      </w:r>
      <w:r>
        <w:rPr>
          <w:rFonts w:hint="eastAsia" w:ascii="宋体" w:hAnsi="宋体"/>
          <w:sz w:val="28"/>
          <w:highlight w:val="none"/>
          <w:lang w:val="en-US" w:eastAsia="zh-CN"/>
        </w:rPr>
        <w:t>22</w:t>
      </w:r>
      <w:r>
        <w:rPr>
          <w:rFonts w:hint="eastAsia" w:ascii="宋体" w:hAnsi="宋体"/>
          <w:sz w:val="28"/>
          <w:highlight w:val="none"/>
        </w:rPr>
        <w:t>日</w:t>
      </w:r>
      <w:r>
        <w:rPr>
          <w:rFonts w:hint="eastAsia" w:ascii="宋体" w:hAnsi="宋体"/>
          <w:sz w:val="28"/>
          <w:highlight w:val="none"/>
          <w:lang w:val="en-US" w:eastAsia="zh-CN"/>
        </w:rPr>
        <w:t>14：30</w:t>
      </w:r>
      <w:r>
        <w:rPr>
          <w:rFonts w:hint="eastAsia" w:ascii="宋体" w:hAnsi="宋体"/>
          <w:sz w:val="28"/>
          <w:highlight w:val="none"/>
        </w:rPr>
        <w:t>。</w:t>
      </w:r>
    </w:p>
    <w:p w14:paraId="6D45E9F2">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14:paraId="54DA39D0">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东楼二楼开标室（203）。</w:t>
      </w:r>
    </w:p>
    <w:p w14:paraId="69A3D7C1">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14:paraId="04750DC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14:paraId="4D961809">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14:paraId="15E3039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14:paraId="713C021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14:paraId="0A1D20EB">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14:paraId="266AD5B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14:paraId="764973FE">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14:paraId="2BA51992">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14:paraId="7F9EFD30">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14:paraId="010EE85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14:paraId="2928FA1C">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14:paraId="03851187">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14:paraId="3A3C57BB">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14:paraId="0EEC29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14:paraId="4F7C57E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14:paraId="1026019E">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14:paraId="0A04C33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14:paraId="0DC684D4">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14:paraId="07A3F63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14:paraId="3E078978">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14:paraId="15B772F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14:paraId="23D65C4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14:paraId="2602E72E">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14:paraId="26910373">
      <w:pPr>
        <w:spacing w:line="540" w:lineRule="exact"/>
        <w:rPr>
          <w:rFonts w:hint="eastAsia" w:ascii="宋体" w:hAnsi="宋体"/>
          <w:sz w:val="28"/>
          <w:highlight w:val="none"/>
        </w:rPr>
      </w:pPr>
      <w:r>
        <w:rPr>
          <w:rFonts w:hint="eastAsia" w:ascii="宋体" w:hAnsi="宋体"/>
          <w:sz w:val="28"/>
          <w:highlight w:val="none"/>
        </w:rPr>
        <w:t>五、报价文件的基本格式</w:t>
      </w:r>
    </w:p>
    <w:p w14:paraId="2C309EEB">
      <w:pPr>
        <w:spacing w:line="540" w:lineRule="exact"/>
        <w:jc w:val="center"/>
        <w:rPr>
          <w:rFonts w:hint="eastAsia" w:ascii="宋体" w:hAnsi="宋体"/>
          <w:sz w:val="28"/>
          <w:highlight w:val="none"/>
          <w:u w:val="single"/>
        </w:rPr>
      </w:pPr>
    </w:p>
    <w:p w14:paraId="117E05F3">
      <w:pPr>
        <w:spacing w:line="540" w:lineRule="exact"/>
        <w:jc w:val="center"/>
        <w:rPr>
          <w:rFonts w:hint="eastAsia" w:ascii="宋体" w:hAnsi="宋体"/>
          <w:sz w:val="28"/>
          <w:highlight w:val="none"/>
          <w:u w:val="single"/>
        </w:rPr>
      </w:pPr>
    </w:p>
    <w:p w14:paraId="5E2B3B95">
      <w:pPr>
        <w:spacing w:line="540" w:lineRule="exact"/>
        <w:jc w:val="center"/>
        <w:rPr>
          <w:rFonts w:hint="eastAsia" w:ascii="宋体" w:hAnsi="宋体"/>
          <w:sz w:val="28"/>
          <w:highlight w:val="none"/>
          <w:u w:val="single"/>
        </w:rPr>
      </w:pPr>
    </w:p>
    <w:p w14:paraId="4DC8A909">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14:paraId="00327FEA">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NB-IoT物联网阀控水表</w:t>
      </w:r>
      <w:r>
        <w:rPr>
          <w:rFonts w:hint="eastAsia" w:ascii="宋体" w:hAnsi="宋体"/>
          <w:sz w:val="32"/>
          <w:szCs w:val="32"/>
          <w:highlight w:val="none"/>
          <w:u w:val="single"/>
        </w:rPr>
        <w:t>采购</w:t>
      </w:r>
      <w:r>
        <w:rPr>
          <w:rFonts w:hint="eastAsia" w:ascii="宋体" w:hAnsi="宋体"/>
          <w:sz w:val="32"/>
          <w:szCs w:val="32"/>
          <w:highlight w:val="none"/>
        </w:rPr>
        <w:t>项目</w:t>
      </w:r>
    </w:p>
    <w:p w14:paraId="627C2416">
      <w:pPr>
        <w:spacing w:line="540" w:lineRule="exact"/>
        <w:jc w:val="center"/>
        <w:rPr>
          <w:rFonts w:hint="eastAsia" w:ascii="宋体" w:hAnsi="宋体"/>
          <w:sz w:val="28"/>
          <w:highlight w:val="none"/>
        </w:rPr>
      </w:pPr>
    </w:p>
    <w:p w14:paraId="3F5DAE6D">
      <w:pPr>
        <w:spacing w:line="540" w:lineRule="exact"/>
        <w:jc w:val="center"/>
        <w:rPr>
          <w:rFonts w:hint="eastAsia" w:ascii="宋体" w:hAnsi="宋体"/>
          <w:sz w:val="28"/>
          <w:highlight w:val="none"/>
        </w:rPr>
      </w:pPr>
    </w:p>
    <w:p w14:paraId="0C01AB11">
      <w:pPr>
        <w:spacing w:line="540" w:lineRule="exact"/>
        <w:jc w:val="center"/>
        <w:rPr>
          <w:rFonts w:hint="eastAsia" w:ascii="宋体" w:hAnsi="宋体"/>
          <w:sz w:val="28"/>
          <w:highlight w:val="none"/>
        </w:rPr>
      </w:pPr>
    </w:p>
    <w:p w14:paraId="397136F3">
      <w:pPr>
        <w:spacing w:line="540" w:lineRule="exact"/>
        <w:jc w:val="center"/>
        <w:rPr>
          <w:rFonts w:hint="eastAsia" w:ascii="宋体" w:hAnsi="宋体"/>
          <w:sz w:val="28"/>
          <w:highlight w:val="none"/>
        </w:rPr>
      </w:pPr>
    </w:p>
    <w:p w14:paraId="2CEA62DC">
      <w:pPr>
        <w:spacing w:line="540" w:lineRule="exact"/>
        <w:jc w:val="center"/>
        <w:rPr>
          <w:rFonts w:hint="eastAsia" w:ascii="宋体" w:hAnsi="宋体"/>
          <w:sz w:val="28"/>
          <w:highlight w:val="none"/>
        </w:rPr>
      </w:pPr>
    </w:p>
    <w:p w14:paraId="5345F8AA">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14:paraId="2D3557B8">
      <w:pPr>
        <w:spacing w:line="540" w:lineRule="exact"/>
        <w:rPr>
          <w:rFonts w:hint="eastAsia" w:ascii="宋体" w:hAnsi="宋体"/>
          <w:sz w:val="28"/>
          <w:highlight w:val="none"/>
        </w:rPr>
      </w:pPr>
    </w:p>
    <w:p w14:paraId="5D0C5836">
      <w:pPr>
        <w:spacing w:line="540" w:lineRule="exact"/>
        <w:rPr>
          <w:rFonts w:hint="eastAsia" w:ascii="宋体" w:hAnsi="宋体"/>
          <w:sz w:val="28"/>
          <w:highlight w:val="none"/>
        </w:rPr>
      </w:pPr>
    </w:p>
    <w:p w14:paraId="1725B814">
      <w:pPr>
        <w:spacing w:line="540" w:lineRule="exact"/>
        <w:rPr>
          <w:rFonts w:hint="eastAsia" w:ascii="宋体" w:hAnsi="宋体"/>
          <w:sz w:val="28"/>
          <w:highlight w:val="none"/>
        </w:rPr>
      </w:pPr>
    </w:p>
    <w:p w14:paraId="353B8745">
      <w:pPr>
        <w:spacing w:line="540" w:lineRule="exact"/>
        <w:rPr>
          <w:rFonts w:hint="eastAsia" w:ascii="宋体" w:hAnsi="宋体"/>
          <w:sz w:val="28"/>
          <w:highlight w:val="none"/>
        </w:rPr>
      </w:pPr>
    </w:p>
    <w:p w14:paraId="37A795DE">
      <w:pPr>
        <w:spacing w:line="540" w:lineRule="exact"/>
        <w:rPr>
          <w:rFonts w:hint="eastAsia" w:ascii="宋体" w:hAnsi="宋体"/>
          <w:sz w:val="28"/>
          <w:highlight w:val="none"/>
        </w:rPr>
      </w:pPr>
    </w:p>
    <w:p w14:paraId="4A7E68B7">
      <w:pPr>
        <w:spacing w:line="540" w:lineRule="exact"/>
        <w:rPr>
          <w:rFonts w:hint="eastAsia" w:ascii="宋体" w:hAnsi="宋体"/>
          <w:sz w:val="28"/>
          <w:highlight w:val="none"/>
        </w:rPr>
      </w:pPr>
      <w:r>
        <w:rPr>
          <w:rFonts w:hint="eastAsia" w:ascii="宋体" w:hAnsi="宋体"/>
          <w:sz w:val="28"/>
          <w:highlight w:val="none"/>
        </w:rPr>
        <w:t>报价人(盖章):</w:t>
      </w:r>
    </w:p>
    <w:p w14:paraId="7470AF34">
      <w:pPr>
        <w:spacing w:line="540" w:lineRule="exact"/>
        <w:rPr>
          <w:rFonts w:hint="eastAsia" w:ascii="宋体" w:hAnsi="宋体"/>
          <w:sz w:val="28"/>
          <w:highlight w:val="none"/>
        </w:rPr>
      </w:pPr>
    </w:p>
    <w:p w14:paraId="0894ED75">
      <w:pPr>
        <w:spacing w:line="540" w:lineRule="exact"/>
        <w:rPr>
          <w:rFonts w:hint="eastAsia" w:ascii="宋体" w:hAnsi="宋体"/>
          <w:sz w:val="28"/>
          <w:highlight w:val="none"/>
        </w:rPr>
      </w:pPr>
      <w:r>
        <w:rPr>
          <w:rFonts w:hint="eastAsia" w:ascii="宋体" w:hAnsi="宋体"/>
          <w:sz w:val="28"/>
          <w:highlight w:val="none"/>
        </w:rPr>
        <w:t>法定代表人或委托代理人(签字):</w:t>
      </w:r>
    </w:p>
    <w:p w14:paraId="302DA6F1">
      <w:pPr>
        <w:spacing w:line="540" w:lineRule="exact"/>
        <w:rPr>
          <w:rFonts w:hint="eastAsia" w:ascii="宋体" w:hAnsi="宋体"/>
          <w:sz w:val="28"/>
          <w:highlight w:val="none"/>
        </w:rPr>
      </w:pPr>
    </w:p>
    <w:p w14:paraId="58647647">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14:paraId="6138B42F">
      <w:pPr>
        <w:spacing w:line="540" w:lineRule="exact"/>
        <w:rPr>
          <w:rFonts w:hint="eastAsia" w:ascii="宋体" w:hAnsi="宋体"/>
          <w:sz w:val="28"/>
          <w:highlight w:val="none"/>
        </w:rPr>
      </w:pPr>
    </w:p>
    <w:p w14:paraId="7B31BDC0">
      <w:pPr>
        <w:spacing w:line="540" w:lineRule="exact"/>
        <w:rPr>
          <w:rFonts w:hint="eastAsia" w:ascii="宋体" w:hAnsi="宋体"/>
          <w:sz w:val="28"/>
          <w:highlight w:val="none"/>
        </w:rPr>
      </w:pPr>
    </w:p>
    <w:p w14:paraId="5FB1C834">
      <w:pPr>
        <w:spacing w:line="540" w:lineRule="exact"/>
        <w:rPr>
          <w:rFonts w:hint="eastAsia" w:ascii="宋体" w:hAnsi="宋体"/>
          <w:sz w:val="28"/>
          <w:highlight w:val="none"/>
        </w:rPr>
      </w:pPr>
    </w:p>
    <w:p w14:paraId="5F5F7588">
      <w:pPr>
        <w:spacing w:line="540" w:lineRule="exact"/>
        <w:rPr>
          <w:rFonts w:hint="eastAsia" w:ascii="宋体" w:hAnsi="宋体"/>
          <w:sz w:val="28"/>
          <w:highlight w:val="none"/>
        </w:rPr>
      </w:pPr>
    </w:p>
    <w:p w14:paraId="205415EB">
      <w:pPr>
        <w:spacing w:line="540" w:lineRule="exact"/>
        <w:jc w:val="center"/>
        <w:rPr>
          <w:rFonts w:hint="eastAsia" w:ascii="宋体" w:hAnsi="宋体"/>
          <w:sz w:val="28"/>
          <w:highlight w:val="none"/>
        </w:rPr>
      </w:pPr>
    </w:p>
    <w:p w14:paraId="56FBA943">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14:paraId="3E42298F">
      <w:pPr>
        <w:spacing w:line="580" w:lineRule="exact"/>
        <w:rPr>
          <w:rFonts w:hint="eastAsia" w:ascii="宋体" w:hAnsi="宋体"/>
          <w:sz w:val="28"/>
          <w:highlight w:val="none"/>
        </w:rPr>
      </w:pPr>
      <w:r>
        <w:rPr>
          <w:rFonts w:hint="eastAsia" w:ascii="宋体" w:hAnsi="宋体"/>
          <w:sz w:val="28"/>
          <w:highlight w:val="none"/>
        </w:rPr>
        <w:t>单位名称:</w:t>
      </w:r>
    </w:p>
    <w:p w14:paraId="232BA250">
      <w:pPr>
        <w:spacing w:line="580" w:lineRule="exact"/>
        <w:rPr>
          <w:rFonts w:hint="eastAsia" w:ascii="宋体" w:hAnsi="宋体"/>
          <w:sz w:val="28"/>
          <w:highlight w:val="none"/>
        </w:rPr>
      </w:pPr>
      <w:r>
        <w:rPr>
          <w:rFonts w:hint="eastAsia" w:ascii="宋体" w:hAnsi="宋体"/>
          <w:sz w:val="28"/>
          <w:highlight w:val="none"/>
        </w:rPr>
        <w:t>单位性质:</w:t>
      </w:r>
    </w:p>
    <w:p w14:paraId="64EC6BC1">
      <w:pPr>
        <w:spacing w:line="580" w:lineRule="exact"/>
        <w:rPr>
          <w:rFonts w:hint="eastAsia" w:ascii="宋体" w:hAnsi="宋体"/>
          <w:sz w:val="28"/>
          <w:highlight w:val="none"/>
        </w:rPr>
      </w:pPr>
      <w:r>
        <w:rPr>
          <w:rFonts w:hint="eastAsia" w:ascii="宋体" w:hAnsi="宋体"/>
          <w:sz w:val="28"/>
          <w:highlight w:val="none"/>
        </w:rPr>
        <w:t>地    址:</w:t>
      </w:r>
    </w:p>
    <w:p w14:paraId="1170F613">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14:paraId="1689ECB6">
      <w:pPr>
        <w:spacing w:line="580" w:lineRule="exact"/>
        <w:rPr>
          <w:rFonts w:hint="eastAsia" w:ascii="宋体" w:hAnsi="宋体"/>
          <w:sz w:val="28"/>
          <w:highlight w:val="none"/>
        </w:rPr>
      </w:pPr>
      <w:r>
        <w:rPr>
          <w:rFonts w:hint="eastAsia" w:ascii="宋体" w:hAnsi="宋体"/>
          <w:sz w:val="28"/>
          <w:highlight w:val="none"/>
        </w:rPr>
        <w:t>经营期限:</w:t>
      </w:r>
    </w:p>
    <w:p w14:paraId="23853185">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14:paraId="2B2121B6">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14:paraId="12A116BC">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14:paraId="30F5C22E">
      <w:pPr>
        <w:spacing w:line="580" w:lineRule="exact"/>
        <w:rPr>
          <w:rFonts w:hint="eastAsia" w:ascii="宋体" w:hAnsi="宋体"/>
          <w:sz w:val="28"/>
          <w:highlight w:val="none"/>
        </w:rPr>
      </w:pPr>
    </w:p>
    <w:p w14:paraId="102FB763">
      <w:pPr>
        <w:spacing w:line="580" w:lineRule="exact"/>
        <w:rPr>
          <w:rFonts w:hint="eastAsia" w:ascii="宋体" w:hAnsi="宋体"/>
          <w:sz w:val="28"/>
          <w:highlight w:val="none"/>
        </w:rPr>
      </w:pPr>
      <w:r>
        <w:rPr>
          <w:rFonts w:hint="eastAsia" w:ascii="宋体" w:hAnsi="宋体"/>
          <w:sz w:val="28"/>
          <w:highlight w:val="none"/>
        </w:rPr>
        <w:t>特此证明</w:t>
      </w:r>
    </w:p>
    <w:p w14:paraId="22CD7B46">
      <w:pPr>
        <w:spacing w:line="580" w:lineRule="exact"/>
        <w:rPr>
          <w:rFonts w:hint="eastAsia" w:ascii="宋体" w:hAnsi="宋体"/>
          <w:sz w:val="28"/>
          <w:highlight w:val="none"/>
        </w:rPr>
      </w:pPr>
    </w:p>
    <w:p w14:paraId="662F428D">
      <w:pPr>
        <w:spacing w:line="580" w:lineRule="exact"/>
        <w:rPr>
          <w:rFonts w:hint="eastAsia" w:ascii="宋体" w:hAnsi="宋体"/>
          <w:sz w:val="28"/>
          <w:highlight w:val="none"/>
        </w:rPr>
      </w:pPr>
    </w:p>
    <w:p w14:paraId="2B274A90">
      <w:pPr>
        <w:spacing w:line="580" w:lineRule="exact"/>
        <w:rPr>
          <w:rFonts w:hint="eastAsia" w:ascii="宋体" w:hAnsi="宋体"/>
          <w:sz w:val="28"/>
          <w:highlight w:val="none"/>
        </w:rPr>
      </w:pPr>
    </w:p>
    <w:p w14:paraId="7F8993C1">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14:paraId="32E5DD4E">
      <w:pPr>
        <w:spacing w:line="580" w:lineRule="exact"/>
        <w:ind w:firstLine="4200" w:firstLineChars="1500"/>
        <w:rPr>
          <w:rFonts w:hint="eastAsia" w:ascii="宋体" w:hAnsi="宋体"/>
          <w:sz w:val="28"/>
          <w:highlight w:val="none"/>
        </w:rPr>
      </w:pPr>
    </w:p>
    <w:p w14:paraId="4D1D080E">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14:paraId="35497F79">
      <w:pPr>
        <w:spacing w:line="540" w:lineRule="exact"/>
        <w:rPr>
          <w:rFonts w:hint="eastAsia" w:ascii="宋体" w:hAnsi="宋体"/>
          <w:sz w:val="28"/>
          <w:highlight w:val="none"/>
        </w:rPr>
      </w:pPr>
    </w:p>
    <w:p w14:paraId="5BEA49F3">
      <w:pPr>
        <w:spacing w:line="540" w:lineRule="exact"/>
        <w:rPr>
          <w:rFonts w:hint="eastAsia" w:ascii="宋体" w:hAnsi="宋体"/>
          <w:sz w:val="28"/>
          <w:highlight w:val="none"/>
        </w:rPr>
      </w:pPr>
    </w:p>
    <w:p w14:paraId="266F6411">
      <w:pPr>
        <w:spacing w:line="540" w:lineRule="exact"/>
        <w:rPr>
          <w:rFonts w:hint="eastAsia" w:ascii="宋体" w:hAnsi="宋体"/>
          <w:sz w:val="28"/>
          <w:highlight w:val="none"/>
        </w:rPr>
      </w:pPr>
    </w:p>
    <w:p w14:paraId="2CE4F28C">
      <w:pPr>
        <w:spacing w:line="540" w:lineRule="exact"/>
        <w:rPr>
          <w:rFonts w:hint="eastAsia" w:ascii="宋体" w:hAnsi="宋体"/>
          <w:sz w:val="28"/>
          <w:highlight w:val="none"/>
        </w:rPr>
      </w:pPr>
    </w:p>
    <w:p w14:paraId="2E0FF833">
      <w:pPr>
        <w:spacing w:line="540" w:lineRule="exact"/>
        <w:rPr>
          <w:rFonts w:hint="eastAsia" w:ascii="宋体" w:hAnsi="宋体"/>
          <w:sz w:val="28"/>
          <w:highlight w:val="none"/>
        </w:rPr>
      </w:pPr>
    </w:p>
    <w:p w14:paraId="39C16BE8">
      <w:pPr>
        <w:spacing w:line="540" w:lineRule="exact"/>
        <w:rPr>
          <w:rFonts w:hint="eastAsia" w:ascii="宋体" w:hAnsi="宋体"/>
          <w:sz w:val="28"/>
          <w:highlight w:val="none"/>
        </w:rPr>
      </w:pPr>
    </w:p>
    <w:p w14:paraId="608BBD37">
      <w:pPr>
        <w:spacing w:line="540" w:lineRule="exact"/>
        <w:rPr>
          <w:rFonts w:hint="eastAsia" w:ascii="宋体" w:hAnsi="宋体"/>
          <w:sz w:val="28"/>
          <w:highlight w:val="none"/>
        </w:rPr>
      </w:pPr>
    </w:p>
    <w:p w14:paraId="46D23314">
      <w:pPr>
        <w:spacing w:line="540" w:lineRule="exact"/>
        <w:rPr>
          <w:rFonts w:hint="eastAsia" w:ascii="宋体" w:hAnsi="宋体"/>
          <w:sz w:val="28"/>
          <w:highlight w:val="none"/>
        </w:rPr>
      </w:pPr>
    </w:p>
    <w:p w14:paraId="0FEE5E04">
      <w:pPr>
        <w:spacing w:line="580" w:lineRule="exact"/>
        <w:jc w:val="center"/>
        <w:rPr>
          <w:rFonts w:hint="eastAsia" w:ascii="宋体" w:hAnsi="宋体"/>
          <w:sz w:val="28"/>
          <w:highlight w:val="none"/>
        </w:rPr>
      </w:pPr>
      <w:r>
        <w:rPr>
          <w:rFonts w:hint="eastAsia" w:ascii="宋体" w:hAnsi="宋体"/>
          <w:sz w:val="28"/>
          <w:highlight w:val="none"/>
        </w:rPr>
        <w:t>授权委托书</w:t>
      </w:r>
    </w:p>
    <w:p w14:paraId="5F2BB87B">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NB-IoT物联网阀控水表</w:t>
      </w:r>
      <w:r>
        <w:rPr>
          <w:rFonts w:hint="eastAsia" w:ascii="宋体" w:hAnsi="宋体"/>
          <w:sz w:val="28"/>
          <w:highlight w:val="none"/>
        </w:rPr>
        <w:t>项目。代理人所签署的一切文件和处理与之有关的一切事务，我均予承认。</w:t>
      </w:r>
    </w:p>
    <w:p w14:paraId="515971AC">
      <w:pPr>
        <w:spacing w:line="580" w:lineRule="exact"/>
        <w:rPr>
          <w:rFonts w:hint="eastAsia" w:ascii="宋体" w:hAnsi="宋体"/>
          <w:sz w:val="28"/>
          <w:highlight w:val="none"/>
        </w:rPr>
      </w:pPr>
    </w:p>
    <w:p w14:paraId="447D802F">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14:paraId="51B6DEAF">
      <w:pPr>
        <w:spacing w:line="580" w:lineRule="exact"/>
        <w:ind w:firstLine="560" w:firstLineChars="200"/>
        <w:rPr>
          <w:rFonts w:hint="eastAsia" w:ascii="宋体" w:hAnsi="宋体"/>
          <w:sz w:val="28"/>
          <w:highlight w:val="none"/>
        </w:rPr>
      </w:pPr>
    </w:p>
    <w:p w14:paraId="2D91B85A">
      <w:pPr>
        <w:spacing w:line="580" w:lineRule="exact"/>
        <w:rPr>
          <w:rFonts w:hint="eastAsia" w:ascii="宋体" w:hAnsi="宋体"/>
          <w:sz w:val="28"/>
          <w:highlight w:val="none"/>
        </w:rPr>
      </w:pPr>
    </w:p>
    <w:p w14:paraId="24166BB8">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14:paraId="34369B1E">
      <w:pPr>
        <w:spacing w:line="580" w:lineRule="exact"/>
        <w:rPr>
          <w:rFonts w:hint="eastAsia" w:ascii="宋体" w:hAnsi="宋体"/>
          <w:sz w:val="28"/>
          <w:highlight w:val="none"/>
        </w:rPr>
      </w:pPr>
    </w:p>
    <w:p w14:paraId="2A230C5F">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14:paraId="4DB2476F">
      <w:pPr>
        <w:spacing w:line="580" w:lineRule="exact"/>
        <w:rPr>
          <w:rFonts w:hint="eastAsia" w:ascii="宋体" w:hAnsi="宋体"/>
          <w:sz w:val="28"/>
          <w:highlight w:val="none"/>
        </w:rPr>
      </w:pPr>
    </w:p>
    <w:p w14:paraId="5CE82BEE">
      <w:pPr>
        <w:spacing w:line="580" w:lineRule="exact"/>
        <w:rPr>
          <w:rFonts w:hint="eastAsia" w:ascii="宋体" w:hAnsi="宋体"/>
          <w:sz w:val="28"/>
          <w:highlight w:val="none"/>
        </w:rPr>
      </w:pPr>
    </w:p>
    <w:p w14:paraId="415A2C2E">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14:paraId="72417111">
      <w:pPr>
        <w:spacing w:line="580" w:lineRule="exact"/>
        <w:rPr>
          <w:rFonts w:hint="eastAsia" w:ascii="宋体" w:hAnsi="宋体"/>
          <w:sz w:val="28"/>
          <w:highlight w:val="none"/>
        </w:rPr>
      </w:pPr>
    </w:p>
    <w:p w14:paraId="34FE167A">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14:paraId="658CEF5C">
      <w:pPr>
        <w:spacing w:line="580" w:lineRule="exact"/>
        <w:rPr>
          <w:rFonts w:hint="eastAsia" w:ascii="宋体" w:hAnsi="宋体"/>
          <w:sz w:val="28"/>
          <w:highlight w:val="none"/>
        </w:rPr>
      </w:pPr>
    </w:p>
    <w:p w14:paraId="113AC261">
      <w:pPr>
        <w:spacing w:line="580" w:lineRule="exact"/>
        <w:rPr>
          <w:rFonts w:hint="eastAsia" w:ascii="宋体" w:hAnsi="宋体"/>
          <w:sz w:val="28"/>
          <w:highlight w:val="none"/>
        </w:rPr>
      </w:pPr>
    </w:p>
    <w:p w14:paraId="711160BD">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14:paraId="763E6A00">
      <w:pPr>
        <w:spacing w:line="540" w:lineRule="exact"/>
        <w:rPr>
          <w:rFonts w:hint="eastAsia" w:ascii="宋体" w:hAnsi="宋体"/>
          <w:sz w:val="28"/>
          <w:highlight w:val="none"/>
        </w:rPr>
      </w:pPr>
      <w:r>
        <w:rPr>
          <w:rFonts w:hint="eastAsia" w:ascii="宋体" w:hAnsi="宋体"/>
          <w:sz w:val="28"/>
          <w:highlight w:val="none"/>
        </w:rPr>
        <w:t xml:space="preserve">  </w:t>
      </w:r>
    </w:p>
    <w:p w14:paraId="2C610A8C">
      <w:pPr>
        <w:spacing w:line="540" w:lineRule="exact"/>
        <w:rPr>
          <w:rFonts w:hint="eastAsia" w:ascii="宋体" w:hAnsi="宋体"/>
          <w:sz w:val="28"/>
          <w:highlight w:val="none"/>
        </w:rPr>
      </w:pPr>
    </w:p>
    <w:p w14:paraId="6BDD90E9">
      <w:pPr>
        <w:spacing w:line="540" w:lineRule="exact"/>
        <w:rPr>
          <w:rFonts w:hint="eastAsia" w:ascii="宋体" w:hAnsi="宋体"/>
          <w:sz w:val="28"/>
          <w:highlight w:val="none"/>
        </w:rPr>
      </w:pPr>
    </w:p>
    <w:p w14:paraId="4C45E327">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14:paraId="50E81792">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14:paraId="463349A2">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14:paraId="0859899F">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提供本采购文件中载明的标的物及其所有服务，全费用成交</w:t>
      </w:r>
      <w:r>
        <w:rPr>
          <w:rFonts w:hint="eastAsia" w:ascii="宋体" w:hAnsi="宋体"/>
          <w:sz w:val="28"/>
          <w:highlight w:val="none"/>
          <w:lang w:val="en-US" w:eastAsia="zh-CN"/>
        </w:rPr>
        <w:t>总价</w:t>
      </w:r>
      <w:r>
        <w:rPr>
          <w:rFonts w:hint="eastAsia" w:ascii="宋体" w:hAnsi="宋体"/>
          <w:sz w:val="28"/>
          <w:highlight w:val="none"/>
        </w:rPr>
        <w:t>为</w:t>
      </w:r>
      <w:r>
        <w:rPr>
          <w:rFonts w:hint="eastAsia" w:ascii="宋体" w:hAnsi="宋体"/>
          <w:sz w:val="28"/>
          <w:highlight w:val="none"/>
          <w:u w:val="single"/>
        </w:rPr>
        <w:t xml:space="preserve">    </w:t>
      </w:r>
      <w:r>
        <w:rPr>
          <w:rFonts w:hint="eastAsia" w:ascii="宋体" w:hAnsi="宋体"/>
          <w:sz w:val="28"/>
          <w:highlight w:val="none"/>
          <w:u w:val="single"/>
          <w:lang w:val="en-US" w:eastAsia="zh-CN"/>
        </w:rPr>
        <w:t>元</w:t>
      </w:r>
      <w:r>
        <w:rPr>
          <w:rFonts w:hint="eastAsia" w:ascii="宋体" w:hAnsi="宋体"/>
          <w:sz w:val="28"/>
          <w:highlight w:val="none"/>
        </w:rPr>
        <w:t>（保留小数点后两位），明细见《报价明细表》。</w:t>
      </w:r>
    </w:p>
    <w:p w14:paraId="39AD27CF">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14:paraId="2FC396F8">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14:paraId="5B02AB23">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14:paraId="1AE8D55F">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14:paraId="2265BD43">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14:paraId="73B3BEFC">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14:paraId="6BA7B598">
      <w:pPr>
        <w:spacing w:line="540" w:lineRule="exact"/>
        <w:rPr>
          <w:rFonts w:hint="eastAsia" w:ascii="宋体" w:hAnsi="宋体"/>
          <w:sz w:val="28"/>
          <w:highlight w:val="none"/>
        </w:rPr>
      </w:pPr>
      <w:r>
        <w:rPr>
          <w:rFonts w:hint="eastAsia" w:ascii="宋体" w:hAnsi="宋体"/>
          <w:sz w:val="28"/>
          <w:highlight w:val="none"/>
        </w:rPr>
        <w:t xml:space="preserve">  </w:t>
      </w:r>
    </w:p>
    <w:p w14:paraId="4D4556BA">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14:paraId="69854E4E">
      <w:pPr>
        <w:spacing w:line="540" w:lineRule="exact"/>
        <w:ind w:firstLine="560" w:firstLineChars="200"/>
        <w:rPr>
          <w:rFonts w:hint="eastAsia" w:ascii="宋体" w:hAnsi="宋体"/>
          <w:sz w:val="28"/>
          <w:highlight w:val="none"/>
        </w:rPr>
      </w:pPr>
    </w:p>
    <w:p w14:paraId="2C82CE19">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14:paraId="2D58EF3A">
      <w:pPr>
        <w:spacing w:line="540" w:lineRule="exact"/>
        <w:ind w:firstLine="560" w:firstLineChars="200"/>
        <w:rPr>
          <w:rFonts w:ascii="宋体" w:hAnsi="宋体"/>
          <w:sz w:val="28"/>
          <w:highlight w:val="none"/>
        </w:rPr>
      </w:pPr>
    </w:p>
    <w:p w14:paraId="71676D1B">
      <w:pPr>
        <w:spacing w:line="540" w:lineRule="exact"/>
        <w:ind w:firstLine="560" w:firstLineChars="200"/>
        <w:rPr>
          <w:rFonts w:ascii="宋体" w:hAnsi="宋体"/>
          <w:sz w:val="28"/>
          <w:highlight w:val="none"/>
        </w:rPr>
      </w:pPr>
    </w:p>
    <w:p w14:paraId="4E415C10">
      <w:pPr>
        <w:spacing w:line="540" w:lineRule="exact"/>
        <w:ind w:firstLine="560" w:firstLineChars="200"/>
        <w:rPr>
          <w:rFonts w:ascii="宋体" w:hAnsi="宋体"/>
          <w:sz w:val="28"/>
          <w:highlight w:val="none"/>
        </w:rPr>
      </w:pPr>
    </w:p>
    <w:p w14:paraId="4BC47B5B">
      <w:pPr>
        <w:spacing w:line="540" w:lineRule="exact"/>
        <w:rPr>
          <w:rFonts w:hint="eastAsia" w:ascii="宋体" w:hAnsi="宋体"/>
          <w:sz w:val="28"/>
          <w:highlight w:val="none"/>
        </w:rPr>
      </w:pPr>
    </w:p>
    <w:p w14:paraId="5B1DC670">
      <w:pPr>
        <w:pStyle w:val="14"/>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14:paraId="16F0021D">
      <w:pPr>
        <w:pStyle w:val="14"/>
        <w:adjustRightInd w:val="0"/>
        <w:snapToGrid w:val="0"/>
        <w:spacing w:before="0" w:beforeAutospacing="0" w:after="0" w:afterAutospacing="0" w:line="360" w:lineRule="auto"/>
        <w:jc w:val="right"/>
        <w:rPr>
          <w:b/>
          <w:sz w:val="16"/>
          <w:szCs w:val="30"/>
          <w:highlight w:val="none"/>
        </w:rPr>
      </w:pPr>
      <w:r>
        <w:rPr>
          <w:b/>
          <w:sz w:val="16"/>
          <w:szCs w:val="30"/>
          <w:highlight w:val="none"/>
        </w:rPr>
        <w:t>单位：元</w:t>
      </w:r>
    </w:p>
    <w:tbl>
      <w:tblPr>
        <w:tblStyle w:val="17"/>
        <w:tblW w:w="9642"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1"/>
        <w:gridCol w:w="2580"/>
        <w:gridCol w:w="2108"/>
        <w:gridCol w:w="1718"/>
        <w:gridCol w:w="1995"/>
      </w:tblGrid>
      <w:tr w14:paraId="1AD3B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blCellSpacing w:w="0" w:type="dxa"/>
          <w:jc w:val="center"/>
        </w:trPr>
        <w:tc>
          <w:tcPr>
            <w:tcW w:w="1241" w:type="dxa"/>
            <w:noWrap w:val="0"/>
            <w:vAlign w:val="center"/>
          </w:tcPr>
          <w:p w14:paraId="496C55AF">
            <w:pPr>
              <w:spacing w:line="312" w:lineRule="auto"/>
              <w:ind w:firstLine="20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序号</w:t>
            </w:r>
          </w:p>
        </w:tc>
        <w:tc>
          <w:tcPr>
            <w:tcW w:w="2580" w:type="dxa"/>
            <w:noWrap w:val="0"/>
            <w:vAlign w:val="center"/>
          </w:tcPr>
          <w:p w14:paraId="02E148C7">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规格（mm）</w:t>
            </w:r>
          </w:p>
        </w:tc>
        <w:tc>
          <w:tcPr>
            <w:tcW w:w="2108" w:type="dxa"/>
            <w:noWrap w:val="0"/>
            <w:vAlign w:val="center"/>
          </w:tcPr>
          <w:p w14:paraId="55A83A3B">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数量（只）</w:t>
            </w:r>
          </w:p>
        </w:tc>
        <w:tc>
          <w:tcPr>
            <w:tcW w:w="1718" w:type="dxa"/>
            <w:noWrap w:val="0"/>
            <w:vAlign w:val="center"/>
          </w:tcPr>
          <w:p w14:paraId="327CFAFA">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不含税单价（元）</w:t>
            </w:r>
          </w:p>
        </w:tc>
        <w:tc>
          <w:tcPr>
            <w:tcW w:w="1995" w:type="dxa"/>
            <w:noWrap w:val="0"/>
            <w:vAlign w:val="center"/>
          </w:tcPr>
          <w:p w14:paraId="753686BF">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含税单价（元）</w:t>
            </w:r>
          </w:p>
        </w:tc>
      </w:tr>
      <w:tr w14:paraId="08F8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blCellSpacing w:w="0" w:type="dxa"/>
          <w:jc w:val="center"/>
        </w:trPr>
        <w:tc>
          <w:tcPr>
            <w:tcW w:w="1241" w:type="dxa"/>
            <w:noWrap w:val="0"/>
            <w:vAlign w:val="center"/>
          </w:tcPr>
          <w:p w14:paraId="3AE9DCF8">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2580" w:type="dxa"/>
            <w:noWrap w:val="0"/>
            <w:vAlign w:val="center"/>
          </w:tcPr>
          <w:p w14:paraId="1E59F858">
            <w:pPr>
              <w:spacing w:line="312" w:lineRule="auto"/>
              <w:ind w:firstLine="20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DN15</w:t>
            </w:r>
          </w:p>
        </w:tc>
        <w:tc>
          <w:tcPr>
            <w:tcW w:w="2108" w:type="dxa"/>
            <w:noWrap w:val="0"/>
            <w:vAlign w:val="center"/>
          </w:tcPr>
          <w:p w14:paraId="4F17D8C8">
            <w:pPr>
              <w:spacing w:line="312" w:lineRule="auto"/>
              <w:ind w:firstLine="20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1280</w:t>
            </w:r>
          </w:p>
        </w:tc>
        <w:tc>
          <w:tcPr>
            <w:tcW w:w="1718" w:type="dxa"/>
            <w:noWrap w:val="0"/>
            <w:vAlign w:val="center"/>
          </w:tcPr>
          <w:p w14:paraId="20B12E4D">
            <w:pPr>
              <w:spacing w:line="312" w:lineRule="auto"/>
              <w:ind w:firstLine="200"/>
              <w:jc w:val="center"/>
              <w:rPr>
                <w:rFonts w:ascii="宋体" w:hAnsi="宋体" w:cs="宋体"/>
                <w:sz w:val="24"/>
                <w:szCs w:val="24"/>
                <w:highlight w:val="none"/>
              </w:rPr>
            </w:pPr>
          </w:p>
        </w:tc>
        <w:tc>
          <w:tcPr>
            <w:tcW w:w="1995" w:type="dxa"/>
            <w:noWrap w:val="0"/>
            <w:vAlign w:val="center"/>
          </w:tcPr>
          <w:p w14:paraId="49682CAE">
            <w:pPr>
              <w:spacing w:line="312" w:lineRule="auto"/>
              <w:ind w:firstLine="200"/>
              <w:jc w:val="center"/>
              <w:rPr>
                <w:rFonts w:hint="eastAsia" w:ascii="宋体" w:hAnsi="宋体" w:cs="宋体"/>
                <w:sz w:val="24"/>
                <w:szCs w:val="24"/>
                <w:highlight w:val="none"/>
              </w:rPr>
            </w:pPr>
          </w:p>
        </w:tc>
      </w:tr>
      <w:tr w14:paraId="120A0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jc w:val="center"/>
        </w:trPr>
        <w:tc>
          <w:tcPr>
            <w:tcW w:w="3821" w:type="dxa"/>
            <w:gridSpan w:val="2"/>
            <w:vMerge w:val="restart"/>
            <w:noWrap w:val="0"/>
            <w:vAlign w:val="center"/>
          </w:tcPr>
          <w:p w14:paraId="31BA1755">
            <w:pPr>
              <w:spacing w:line="312" w:lineRule="auto"/>
              <w:ind w:firstLine="20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不含税合计（元）</w:t>
            </w:r>
          </w:p>
        </w:tc>
        <w:tc>
          <w:tcPr>
            <w:tcW w:w="5821" w:type="dxa"/>
            <w:gridSpan w:val="3"/>
            <w:noWrap w:val="0"/>
            <w:vAlign w:val="center"/>
          </w:tcPr>
          <w:p w14:paraId="6D49F240">
            <w:pPr>
              <w:spacing w:line="312" w:lineRule="auto"/>
              <w:ind w:firstLine="200"/>
              <w:jc w:val="both"/>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大写：</w:t>
            </w:r>
          </w:p>
        </w:tc>
      </w:tr>
      <w:tr w14:paraId="15443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jc w:val="center"/>
        </w:trPr>
        <w:tc>
          <w:tcPr>
            <w:tcW w:w="3821" w:type="dxa"/>
            <w:gridSpan w:val="2"/>
            <w:vMerge w:val="continue"/>
            <w:noWrap w:val="0"/>
            <w:vAlign w:val="center"/>
          </w:tcPr>
          <w:p w14:paraId="7217B525">
            <w:pPr>
              <w:spacing w:line="312" w:lineRule="auto"/>
              <w:ind w:firstLine="200"/>
              <w:jc w:val="center"/>
              <w:rPr>
                <w:rFonts w:hint="eastAsia" w:ascii="宋体" w:hAnsi="宋体" w:cs="宋体"/>
                <w:sz w:val="24"/>
                <w:szCs w:val="24"/>
                <w:highlight w:val="none"/>
              </w:rPr>
            </w:pPr>
          </w:p>
        </w:tc>
        <w:tc>
          <w:tcPr>
            <w:tcW w:w="5821" w:type="dxa"/>
            <w:gridSpan w:val="3"/>
            <w:noWrap w:val="0"/>
            <w:vAlign w:val="center"/>
          </w:tcPr>
          <w:p w14:paraId="216327BD">
            <w:pPr>
              <w:spacing w:line="312" w:lineRule="auto"/>
              <w:ind w:firstLine="200"/>
              <w:jc w:val="both"/>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w:t>
            </w:r>
          </w:p>
        </w:tc>
      </w:tr>
      <w:tr w14:paraId="2FEE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jc w:val="center"/>
        </w:trPr>
        <w:tc>
          <w:tcPr>
            <w:tcW w:w="3821" w:type="dxa"/>
            <w:gridSpan w:val="2"/>
            <w:vMerge w:val="restart"/>
            <w:noWrap w:val="0"/>
            <w:vAlign w:val="center"/>
          </w:tcPr>
          <w:p w14:paraId="6A04A751">
            <w:pPr>
              <w:spacing w:line="312" w:lineRule="auto"/>
              <w:ind w:firstLine="20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含税合计（元）</w:t>
            </w:r>
          </w:p>
        </w:tc>
        <w:tc>
          <w:tcPr>
            <w:tcW w:w="5821" w:type="dxa"/>
            <w:gridSpan w:val="3"/>
            <w:noWrap w:val="0"/>
            <w:vAlign w:val="center"/>
          </w:tcPr>
          <w:p w14:paraId="239CFA8A">
            <w:pPr>
              <w:spacing w:line="312" w:lineRule="auto"/>
              <w:ind w:firstLine="200" w:firstLineChars="0"/>
              <w:jc w:val="both"/>
              <w:rPr>
                <w:rFonts w:hint="eastAsia" w:ascii="宋体" w:hAnsi="宋体" w:cs="宋体"/>
                <w:sz w:val="24"/>
                <w:szCs w:val="24"/>
                <w:highlight w:val="none"/>
              </w:rPr>
            </w:pPr>
            <w:r>
              <w:rPr>
                <w:rFonts w:hint="eastAsia" w:ascii="宋体" w:hAnsi="宋体" w:cs="宋体"/>
                <w:sz w:val="24"/>
                <w:szCs w:val="24"/>
                <w:highlight w:val="none"/>
                <w:lang w:val="en-US" w:eastAsia="zh-CN"/>
              </w:rPr>
              <w:t>大写：</w:t>
            </w:r>
          </w:p>
        </w:tc>
      </w:tr>
      <w:tr w14:paraId="0AD1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blCellSpacing w:w="0" w:type="dxa"/>
          <w:jc w:val="center"/>
        </w:trPr>
        <w:tc>
          <w:tcPr>
            <w:tcW w:w="3821" w:type="dxa"/>
            <w:gridSpan w:val="2"/>
            <w:vMerge w:val="continue"/>
            <w:noWrap w:val="0"/>
            <w:vAlign w:val="center"/>
          </w:tcPr>
          <w:p w14:paraId="6B8267D4">
            <w:pPr>
              <w:spacing w:line="312" w:lineRule="auto"/>
              <w:ind w:firstLine="200"/>
              <w:jc w:val="center"/>
              <w:rPr>
                <w:rFonts w:hint="eastAsia" w:ascii="宋体" w:hAnsi="宋体" w:cs="宋体"/>
                <w:sz w:val="24"/>
                <w:szCs w:val="24"/>
                <w:highlight w:val="none"/>
              </w:rPr>
            </w:pPr>
          </w:p>
        </w:tc>
        <w:tc>
          <w:tcPr>
            <w:tcW w:w="5821" w:type="dxa"/>
            <w:gridSpan w:val="3"/>
            <w:noWrap w:val="0"/>
            <w:vAlign w:val="center"/>
          </w:tcPr>
          <w:p w14:paraId="6F43D564">
            <w:pPr>
              <w:spacing w:line="312" w:lineRule="auto"/>
              <w:ind w:firstLine="200" w:firstLineChars="0"/>
              <w:jc w:val="both"/>
              <w:rPr>
                <w:rFonts w:hint="eastAsia" w:ascii="宋体" w:hAnsi="宋体" w:cs="宋体"/>
                <w:sz w:val="24"/>
                <w:szCs w:val="24"/>
                <w:highlight w:val="none"/>
              </w:rPr>
            </w:pPr>
            <w:r>
              <w:rPr>
                <w:rFonts w:hint="eastAsia" w:ascii="宋体" w:hAnsi="宋体" w:cs="宋体"/>
                <w:sz w:val="24"/>
                <w:szCs w:val="24"/>
                <w:highlight w:val="none"/>
                <w:lang w:val="en-US" w:eastAsia="zh-CN"/>
              </w:rPr>
              <w:t>￥：</w:t>
            </w:r>
          </w:p>
        </w:tc>
      </w:tr>
    </w:tbl>
    <w:p w14:paraId="5135AA50">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4"/>
          <w:szCs w:val="21"/>
          <w:highlight w:val="none"/>
        </w:rPr>
      </w:pPr>
      <w:r>
        <w:rPr>
          <w:rFonts w:hint="eastAsia" w:ascii="宋体" w:hAnsi="宋体"/>
          <w:sz w:val="24"/>
          <w:szCs w:val="21"/>
          <w:highlight w:val="none"/>
        </w:rPr>
        <w:t>上述货物的报价（综合单价）包括下列费用：</w:t>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r>
        <w:rPr>
          <w:rFonts w:hint="eastAsia" w:ascii="宋体" w:hAnsi="宋体"/>
          <w:sz w:val="24"/>
          <w:szCs w:val="21"/>
          <w:highlight w:val="none"/>
        </w:rPr>
        <w:tab/>
      </w:r>
    </w:p>
    <w:p w14:paraId="148AC35A">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4"/>
          <w:szCs w:val="21"/>
          <w:highlight w:val="none"/>
        </w:rPr>
      </w:pPr>
      <w:r>
        <w:rPr>
          <w:rFonts w:hint="eastAsia" w:ascii="宋体" w:hAnsi="宋体"/>
          <w:sz w:val="24"/>
          <w:szCs w:val="21"/>
          <w:highlight w:val="none"/>
        </w:rPr>
        <w:t>（1）价格包含完成本项目所有费用。结算时，单价不做任何调整，最终按实结算；</w:t>
      </w:r>
    </w:p>
    <w:p w14:paraId="4C576217">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4"/>
          <w:szCs w:val="21"/>
          <w:highlight w:val="none"/>
        </w:rPr>
      </w:pPr>
      <w:r>
        <w:rPr>
          <w:rFonts w:hint="eastAsia" w:ascii="宋体" w:hAnsi="宋体"/>
          <w:sz w:val="24"/>
          <w:szCs w:val="21"/>
          <w:highlight w:val="none"/>
        </w:rPr>
        <w:t>（2）包括全部货物的成本、利润、增值税（13%）、运输费、包装费、组装费、调试费用、政策性文件规定及合同包含的所有风险、安全责任等各项应有费用以及完成本项目所需的一切费用。所涉及的所有费用报价时应充分考虑，相关费用包含在报价内，结算时不作任何调整；</w:t>
      </w:r>
      <w:r>
        <w:rPr>
          <w:rFonts w:hint="eastAsia" w:ascii="宋体" w:hAnsi="宋体"/>
          <w:sz w:val="24"/>
          <w:szCs w:val="21"/>
          <w:highlight w:val="none"/>
        </w:rPr>
        <w:tab/>
      </w:r>
    </w:p>
    <w:p w14:paraId="2961067B">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4"/>
          <w:szCs w:val="21"/>
          <w:highlight w:val="none"/>
        </w:rPr>
      </w:pPr>
      <w:r>
        <w:rPr>
          <w:rFonts w:hint="eastAsia" w:ascii="宋体" w:hAnsi="宋体"/>
          <w:sz w:val="24"/>
          <w:szCs w:val="21"/>
          <w:highlight w:val="none"/>
        </w:rPr>
        <w:t>（3）货物落地交付前的运输费、保险费及装卸费（含目的地卸货费用）；</w:t>
      </w:r>
    </w:p>
    <w:p w14:paraId="0911ADAC">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4"/>
          <w:szCs w:val="21"/>
          <w:highlight w:val="none"/>
        </w:rPr>
      </w:pPr>
      <w:r>
        <w:rPr>
          <w:rFonts w:hint="eastAsia" w:ascii="宋体" w:hAnsi="宋体"/>
          <w:sz w:val="24"/>
          <w:szCs w:val="21"/>
          <w:highlight w:val="none"/>
        </w:rPr>
        <w:t>（4）货物的检验检测、技术服务等费用。</w:t>
      </w:r>
    </w:p>
    <w:p w14:paraId="31866713">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4"/>
          <w:szCs w:val="21"/>
          <w:highlight w:val="none"/>
        </w:rPr>
      </w:pPr>
      <w:r>
        <w:rPr>
          <w:rFonts w:hint="eastAsia" w:ascii="宋体" w:hAnsi="宋体"/>
          <w:sz w:val="24"/>
          <w:szCs w:val="21"/>
          <w:highlight w:val="none"/>
        </w:rPr>
        <w:t>（5）在得到采购人所通知后供应商才可以加工、发货。</w:t>
      </w:r>
    </w:p>
    <w:p w14:paraId="4AF4C1EC">
      <w:pPr>
        <w:keepNext w:val="0"/>
        <w:keepLines w:val="0"/>
        <w:pageBreakBefore w:val="0"/>
        <w:widowControl w:val="0"/>
        <w:kinsoku/>
        <w:wordWrap/>
        <w:overflowPunct/>
        <w:topLinePunct w:val="0"/>
        <w:autoSpaceDE/>
        <w:autoSpaceDN/>
        <w:bidi w:val="0"/>
        <w:adjustRightInd/>
        <w:snapToGrid/>
        <w:spacing w:line="540" w:lineRule="exact"/>
        <w:ind w:firstLine="2640" w:firstLineChars="1100"/>
        <w:jc w:val="left"/>
        <w:textAlignment w:val="auto"/>
        <w:rPr>
          <w:rFonts w:hint="eastAsia" w:ascii="宋体" w:hAnsi="宋体"/>
          <w:sz w:val="24"/>
          <w:szCs w:val="21"/>
          <w:highlight w:val="none"/>
        </w:rPr>
      </w:pPr>
    </w:p>
    <w:p w14:paraId="7DC87B39">
      <w:pPr>
        <w:keepNext w:val="0"/>
        <w:keepLines w:val="0"/>
        <w:pageBreakBefore w:val="0"/>
        <w:widowControl w:val="0"/>
        <w:kinsoku/>
        <w:wordWrap/>
        <w:overflowPunct/>
        <w:topLinePunct w:val="0"/>
        <w:autoSpaceDE/>
        <w:autoSpaceDN/>
        <w:bidi w:val="0"/>
        <w:adjustRightInd/>
        <w:snapToGrid/>
        <w:spacing w:line="540" w:lineRule="exact"/>
        <w:ind w:firstLine="2880" w:firstLineChars="1200"/>
        <w:jc w:val="left"/>
        <w:textAlignment w:val="auto"/>
        <w:rPr>
          <w:rFonts w:hint="eastAsia" w:ascii="宋体" w:hAnsi="宋体"/>
          <w:sz w:val="24"/>
          <w:szCs w:val="21"/>
          <w:highlight w:val="none"/>
        </w:rPr>
      </w:pPr>
      <w:r>
        <w:rPr>
          <w:rFonts w:hint="eastAsia" w:ascii="宋体" w:hAnsi="宋体"/>
          <w:sz w:val="24"/>
          <w:szCs w:val="21"/>
          <w:highlight w:val="none"/>
        </w:rPr>
        <w:t>供应商：（单位名称） （盖单位公章）</w:t>
      </w:r>
    </w:p>
    <w:p w14:paraId="5A175B09">
      <w:pPr>
        <w:keepNext w:val="0"/>
        <w:keepLines w:val="0"/>
        <w:pageBreakBefore w:val="0"/>
        <w:widowControl w:val="0"/>
        <w:kinsoku/>
        <w:wordWrap/>
        <w:overflowPunct/>
        <w:topLinePunct w:val="0"/>
        <w:autoSpaceDE/>
        <w:autoSpaceDN/>
        <w:bidi w:val="0"/>
        <w:adjustRightInd/>
        <w:snapToGrid/>
        <w:spacing w:line="540" w:lineRule="exact"/>
        <w:ind w:firstLine="2880" w:firstLineChars="1200"/>
        <w:jc w:val="left"/>
        <w:textAlignment w:val="auto"/>
        <w:rPr>
          <w:rFonts w:hint="eastAsia" w:ascii="宋体" w:hAnsi="宋体"/>
          <w:sz w:val="24"/>
          <w:szCs w:val="21"/>
          <w:highlight w:val="none"/>
        </w:rPr>
      </w:pPr>
      <w:r>
        <w:rPr>
          <w:rFonts w:hint="eastAsia" w:ascii="宋体" w:hAnsi="宋体"/>
          <w:sz w:val="24"/>
          <w:szCs w:val="21"/>
          <w:highlight w:val="none"/>
        </w:rPr>
        <w:t>法定代表人（或委托代理人）：（签字）</w:t>
      </w:r>
    </w:p>
    <w:p w14:paraId="4F95C489">
      <w:pPr>
        <w:keepNext w:val="0"/>
        <w:keepLines w:val="0"/>
        <w:pageBreakBefore w:val="0"/>
        <w:widowControl w:val="0"/>
        <w:kinsoku/>
        <w:wordWrap/>
        <w:overflowPunct/>
        <w:topLinePunct w:val="0"/>
        <w:autoSpaceDE/>
        <w:autoSpaceDN/>
        <w:bidi w:val="0"/>
        <w:adjustRightInd/>
        <w:snapToGrid/>
        <w:spacing w:line="540" w:lineRule="exact"/>
        <w:ind w:firstLine="2880" w:firstLineChars="1200"/>
        <w:jc w:val="left"/>
        <w:textAlignment w:val="auto"/>
        <w:rPr>
          <w:rFonts w:hint="eastAsia" w:ascii="宋体" w:hAnsi="宋体"/>
          <w:b/>
          <w:sz w:val="24"/>
          <w:szCs w:val="21"/>
          <w:highlight w:val="none"/>
        </w:rPr>
      </w:pPr>
      <w:r>
        <w:rPr>
          <w:rFonts w:hint="eastAsia" w:ascii="宋体" w:hAnsi="宋体"/>
          <w:sz w:val="24"/>
          <w:szCs w:val="21"/>
          <w:highlight w:val="none"/>
        </w:rPr>
        <w:t>日  期：</w:t>
      </w:r>
    </w:p>
    <w:p w14:paraId="756F5BA2">
      <w:pPr>
        <w:spacing w:line="540" w:lineRule="exact"/>
        <w:jc w:val="both"/>
        <w:rPr>
          <w:rFonts w:hint="eastAsia" w:ascii="宋体" w:hAnsi="宋体"/>
          <w:b/>
          <w:sz w:val="28"/>
          <w:highlight w:val="none"/>
        </w:rPr>
      </w:pPr>
    </w:p>
    <w:p w14:paraId="5992067D">
      <w:pPr>
        <w:spacing w:line="540" w:lineRule="exact"/>
        <w:ind w:firstLine="562" w:firstLineChars="200"/>
        <w:jc w:val="center"/>
        <w:rPr>
          <w:rFonts w:hint="eastAsia" w:ascii="宋体" w:hAnsi="宋体"/>
          <w:b/>
          <w:sz w:val="28"/>
          <w:highlight w:val="none"/>
        </w:rPr>
      </w:pPr>
    </w:p>
    <w:p w14:paraId="67AC6158">
      <w:pPr>
        <w:spacing w:line="540" w:lineRule="exact"/>
        <w:ind w:firstLine="562" w:firstLineChars="200"/>
        <w:jc w:val="center"/>
        <w:rPr>
          <w:rFonts w:hint="eastAsia" w:ascii="宋体" w:hAnsi="宋体"/>
          <w:b/>
          <w:sz w:val="28"/>
          <w:highlight w:val="none"/>
        </w:rPr>
      </w:pPr>
    </w:p>
    <w:p w14:paraId="28E336C4">
      <w:pPr>
        <w:spacing w:line="540" w:lineRule="exact"/>
        <w:ind w:firstLine="562" w:firstLineChars="200"/>
        <w:jc w:val="center"/>
        <w:rPr>
          <w:rFonts w:hint="eastAsia" w:ascii="宋体" w:hAnsi="宋体"/>
          <w:b/>
          <w:sz w:val="28"/>
          <w:highlight w:val="none"/>
        </w:rPr>
      </w:pPr>
    </w:p>
    <w:p w14:paraId="6E1A1FD3">
      <w:pPr>
        <w:spacing w:line="540" w:lineRule="exact"/>
        <w:ind w:firstLine="562" w:firstLineChars="200"/>
        <w:jc w:val="center"/>
        <w:rPr>
          <w:rFonts w:hint="eastAsia" w:ascii="宋体" w:hAnsi="宋体"/>
          <w:b/>
          <w:sz w:val="28"/>
          <w:highlight w:val="none"/>
        </w:rPr>
      </w:pPr>
    </w:p>
    <w:p w14:paraId="69225A15">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14:paraId="3039B194">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14:paraId="67ADF429">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14:paraId="1C5924BB">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14:paraId="39D6DA89">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14:paraId="5E81D3DA">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14:paraId="2B6F0170">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1199CA8F">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14:paraId="4D45CF96">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14:paraId="1729FF2E">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14:paraId="6EE91B3A">
      <w:pPr>
        <w:spacing w:line="540" w:lineRule="exact"/>
        <w:ind w:firstLine="560" w:firstLineChars="200"/>
        <w:rPr>
          <w:rFonts w:ascii="宋体" w:hAnsi="宋体"/>
          <w:sz w:val="28"/>
          <w:highlight w:val="none"/>
        </w:rPr>
      </w:pPr>
    </w:p>
    <w:p w14:paraId="46897153">
      <w:pPr>
        <w:spacing w:line="540" w:lineRule="exact"/>
        <w:ind w:firstLine="560" w:firstLineChars="200"/>
        <w:rPr>
          <w:rFonts w:ascii="宋体" w:hAnsi="宋体"/>
          <w:sz w:val="28"/>
          <w:highlight w:val="none"/>
        </w:rPr>
      </w:pPr>
    </w:p>
    <w:p w14:paraId="57D8EFB3">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14:paraId="00C71057">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14:paraId="66EFFE4C">
      <w:pPr>
        <w:spacing w:line="540" w:lineRule="exact"/>
        <w:ind w:firstLine="560" w:firstLineChars="200"/>
        <w:rPr>
          <w:rFonts w:ascii="宋体" w:hAnsi="宋体"/>
          <w:sz w:val="28"/>
          <w:highlight w:val="none"/>
        </w:rPr>
      </w:pPr>
      <w:r>
        <w:rPr>
          <w:rFonts w:hint="eastAsia" w:ascii="宋体" w:hAnsi="宋体"/>
          <w:sz w:val="28"/>
          <w:highlight w:val="none"/>
        </w:rPr>
        <w:t>时间：  年  月</w:t>
      </w:r>
    </w:p>
    <w:p w14:paraId="1EF5B692">
      <w:pPr>
        <w:spacing w:line="540" w:lineRule="exact"/>
        <w:rPr>
          <w:rFonts w:hint="eastAsia" w:ascii="宋体" w:hAnsi="宋体"/>
          <w:sz w:val="28"/>
          <w:highlight w:val="none"/>
        </w:rPr>
      </w:pPr>
    </w:p>
    <w:p w14:paraId="53DFAADA">
      <w:pPr>
        <w:spacing w:line="360" w:lineRule="auto"/>
        <w:jc w:val="center"/>
        <w:outlineLvl w:val="1"/>
        <w:rPr>
          <w:rFonts w:ascii="宋体" w:hAnsi="宋体" w:cs="宋体"/>
          <w:b/>
          <w:bCs/>
          <w:color w:val="0D0D0D"/>
          <w:kern w:val="0"/>
          <w:sz w:val="28"/>
          <w:szCs w:val="28"/>
          <w:highlight w:val="none"/>
        </w:rPr>
      </w:pPr>
    </w:p>
    <w:p w14:paraId="555608C2">
      <w:pPr>
        <w:spacing w:line="360" w:lineRule="auto"/>
        <w:jc w:val="center"/>
        <w:outlineLvl w:val="1"/>
        <w:rPr>
          <w:rFonts w:ascii="宋体" w:hAnsi="宋体" w:cs="宋体"/>
          <w:b/>
          <w:bCs/>
          <w:color w:val="0D0D0D"/>
          <w:kern w:val="0"/>
          <w:sz w:val="28"/>
          <w:szCs w:val="28"/>
          <w:highlight w:val="none"/>
        </w:rPr>
      </w:pPr>
    </w:p>
    <w:p w14:paraId="0B4CEA91">
      <w:pPr>
        <w:spacing w:line="360" w:lineRule="auto"/>
        <w:jc w:val="center"/>
        <w:outlineLvl w:val="1"/>
        <w:rPr>
          <w:rFonts w:hint="eastAsia" w:ascii="宋体" w:hAnsi="宋体" w:cs="宋体"/>
          <w:b/>
          <w:bCs/>
          <w:color w:val="0D0D0D"/>
          <w:kern w:val="0"/>
          <w:sz w:val="28"/>
          <w:szCs w:val="28"/>
          <w:highlight w:val="none"/>
        </w:rPr>
      </w:pPr>
    </w:p>
    <w:p w14:paraId="351F5A0E">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14:paraId="48EABCB4">
      <w:pPr>
        <w:rPr>
          <w:rFonts w:ascii="宋体" w:hAnsi="宋体"/>
          <w:highlight w:val="none"/>
        </w:rPr>
      </w:pPr>
    </w:p>
    <w:p w14:paraId="7DD91BF8">
      <w:pPr>
        <w:widowControl/>
        <w:spacing w:line="360" w:lineRule="auto"/>
        <w:jc w:val="left"/>
        <w:rPr>
          <w:rFonts w:ascii="宋体" w:hAnsi="宋体" w:cs="宋体"/>
          <w:color w:val="000000"/>
          <w:sz w:val="23"/>
          <w:szCs w:val="23"/>
          <w:highlight w:val="none"/>
        </w:rPr>
      </w:pPr>
    </w:p>
    <w:p w14:paraId="36A2FA49">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14:paraId="4B4DAF9E">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14:paraId="6319D12B">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14:paraId="79759817">
      <w:pPr>
        <w:spacing w:line="360" w:lineRule="auto"/>
        <w:ind w:right="-512" w:rightChars="-244" w:firstLine="3120" w:firstLineChars="1300"/>
        <w:rPr>
          <w:rFonts w:ascii="宋体" w:hAnsi="宋体" w:cs="宋体"/>
          <w:color w:val="000000"/>
          <w:sz w:val="24"/>
          <w:highlight w:val="none"/>
        </w:rPr>
      </w:pPr>
    </w:p>
    <w:p w14:paraId="61387A37">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14:paraId="1A22A1C1">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14:paraId="07642C1C">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14:paraId="57FCE9EE">
      <w:pPr>
        <w:rPr>
          <w:rFonts w:ascii="宋体" w:hAnsi="宋体"/>
          <w:highlight w:val="none"/>
        </w:rPr>
      </w:pPr>
    </w:p>
    <w:p w14:paraId="66E35C5F">
      <w:pPr>
        <w:rPr>
          <w:rFonts w:ascii="宋体" w:hAnsi="宋体"/>
          <w:highlight w:val="none"/>
        </w:rPr>
      </w:pPr>
    </w:p>
    <w:p w14:paraId="0E6C81F8">
      <w:pPr>
        <w:rPr>
          <w:rFonts w:ascii="宋体" w:hAnsi="宋体"/>
          <w:highlight w:val="none"/>
        </w:rPr>
      </w:pPr>
    </w:p>
    <w:p w14:paraId="5BF73628">
      <w:pPr>
        <w:rPr>
          <w:rFonts w:hint="eastAsia" w:ascii="宋体" w:hAnsi="宋体" w:cs="宋体"/>
          <w:b/>
          <w:color w:val="0D0D0D"/>
          <w:sz w:val="28"/>
          <w:szCs w:val="28"/>
          <w:highlight w:val="none"/>
        </w:rPr>
      </w:pPr>
    </w:p>
    <w:p w14:paraId="4DC75560">
      <w:pPr>
        <w:pStyle w:val="13"/>
        <w:rPr>
          <w:rFonts w:hint="eastAsia" w:ascii="宋体" w:hAnsi="宋体" w:cs="宋体"/>
          <w:b/>
          <w:color w:val="0D0D0D"/>
          <w:sz w:val="28"/>
          <w:szCs w:val="28"/>
          <w:highlight w:val="none"/>
        </w:rPr>
      </w:pPr>
    </w:p>
    <w:p w14:paraId="1C40A68F">
      <w:pPr>
        <w:pStyle w:val="13"/>
        <w:rPr>
          <w:rFonts w:hint="eastAsia" w:ascii="宋体" w:hAnsi="宋体" w:cs="宋体"/>
          <w:b/>
          <w:color w:val="0D0D0D"/>
          <w:sz w:val="28"/>
          <w:szCs w:val="28"/>
          <w:highlight w:val="none"/>
        </w:rPr>
      </w:pPr>
    </w:p>
    <w:p w14:paraId="418BAF34">
      <w:pPr>
        <w:pStyle w:val="13"/>
        <w:rPr>
          <w:rFonts w:hint="eastAsia" w:ascii="宋体" w:hAnsi="宋体" w:cs="宋体"/>
          <w:b/>
          <w:color w:val="0D0D0D"/>
          <w:sz w:val="28"/>
          <w:szCs w:val="28"/>
          <w:highlight w:val="none"/>
        </w:rPr>
      </w:pPr>
    </w:p>
    <w:p w14:paraId="5662256B">
      <w:pPr>
        <w:pStyle w:val="13"/>
        <w:rPr>
          <w:rFonts w:hint="eastAsia" w:ascii="宋体" w:hAnsi="宋体" w:cs="宋体"/>
          <w:b/>
          <w:color w:val="0D0D0D"/>
          <w:sz w:val="28"/>
          <w:szCs w:val="28"/>
          <w:highlight w:val="none"/>
        </w:rPr>
      </w:pPr>
    </w:p>
    <w:p w14:paraId="12EFF624">
      <w:pPr>
        <w:pStyle w:val="13"/>
        <w:rPr>
          <w:rFonts w:hint="eastAsia" w:ascii="宋体" w:hAnsi="宋体" w:cs="宋体"/>
          <w:b/>
          <w:color w:val="0D0D0D"/>
          <w:sz w:val="28"/>
          <w:szCs w:val="28"/>
          <w:highlight w:val="none"/>
        </w:rPr>
      </w:pPr>
    </w:p>
    <w:p w14:paraId="3F80E44F">
      <w:pPr>
        <w:pStyle w:val="13"/>
        <w:rPr>
          <w:rFonts w:hint="eastAsia" w:ascii="宋体" w:hAnsi="宋体" w:cs="宋体"/>
          <w:b/>
          <w:color w:val="0D0D0D"/>
          <w:sz w:val="28"/>
          <w:szCs w:val="28"/>
          <w:highlight w:val="none"/>
        </w:rPr>
      </w:pPr>
    </w:p>
    <w:p w14:paraId="3AAB4D90">
      <w:pPr>
        <w:pStyle w:val="13"/>
        <w:rPr>
          <w:rFonts w:hint="eastAsia" w:ascii="宋体" w:hAnsi="宋体" w:cs="宋体"/>
          <w:b/>
          <w:color w:val="0D0D0D"/>
          <w:sz w:val="28"/>
          <w:szCs w:val="28"/>
          <w:highlight w:val="none"/>
        </w:rPr>
      </w:pPr>
    </w:p>
    <w:p w14:paraId="78F62CC7">
      <w:pPr>
        <w:pStyle w:val="13"/>
        <w:rPr>
          <w:rFonts w:hint="eastAsia" w:ascii="宋体" w:hAnsi="宋体" w:cs="宋体"/>
          <w:b/>
          <w:color w:val="0D0D0D"/>
          <w:sz w:val="28"/>
          <w:szCs w:val="28"/>
          <w:highlight w:val="none"/>
        </w:rPr>
      </w:pPr>
    </w:p>
    <w:p w14:paraId="0160DCA1">
      <w:pPr>
        <w:pStyle w:val="13"/>
        <w:rPr>
          <w:rFonts w:hint="eastAsia" w:ascii="宋体" w:hAnsi="宋体" w:cs="宋体"/>
          <w:b/>
          <w:color w:val="0D0D0D"/>
          <w:sz w:val="28"/>
          <w:szCs w:val="28"/>
          <w:highlight w:val="none"/>
        </w:rPr>
      </w:pPr>
    </w:p>
    <w:p w14:paraId="667CBBA5">
      <w:pPr>
        <w:pStyle w:val="13"/>
        <w:rPr>
          <w:rFonts w:hint="eastAsia" w:ascii="宋体" w:hAnsi="宋体" w:cs="宋体"/>
          <w:b/>
          <w:color w:val="0D0D0D"/>
          <w:sz w:val="28"/>
          <w:szCs w:val="28"/>
          <w:highlight w:val="none"/>
        </w:rPr>
      </w:pPr>
    </w:p>
    <w:p w14:paraId="4DFC746E">
      <w:pPr>
        <w:pStyle w:val="13"/>
        <w:rPr>
          <w:rFonts w:hint="eastAsia" w:ascii="宋体" w:hAnsi="宋体" w:cs="宋体"/>
          <w:b/>
          <w:color w:val="0D0D0D"/>
          <w:sz w:val="28"/>
          <w:szCs w:val="28"/>
          <w:highlight w:val="none"/>
        </w:rPr>
      </w:pPr>
    </w:p>
    <w:p w14:paraId="670AA74F">
      <w:pPr>
        <w:pStyle w:val="13"/>
        <w:rPr>
          <w:rFonts w:hint="eastAsia" w:ascii="宋体" w:hAnsi="宋体" w:cs="宋体"/>
          <w:b/>
          <w:color w:val="0D0D0D"/>
          <w:sz w:val="28"/>
          <w:szCs w:val="28"/>
          <w:highlight w:val="none"/>
        </w:rPr>
      </w:pPr>
    </w:p>
    <w:p w14:paraId="74E850FD">
      <w:pPr>
        <w:pStyle w:val="13"/>
        <w:rPr>
          <w:rFonts w:hint="eastAsia" w:ascii="宋体" w:hAnsi="宋体" w:cs="宋体"/>
          <w:b/>
          <w:color w:val="0D0D0D"/>
          <w:sz w:val="28"/>
          <w:szCs w:val="28"/>
          <w:highlight w:val="none"/>
        </w:rPr>
      </w:pPr>
    </w:p>
    <w:p w14:paraId="11B0A288">
      <w:pPr>
        <w:pStyle w:val="13"/>
        <w:rPr>
          <w:rFonts w:hint="eastAsia" w:ascii="宋体" w:hAnsi="宋体" w:cs="宋体"/>
          <w:b/>
          <w:color w:val="0D0D0D"/>
          <w:sz w:val="28"/>
          <w:szCs w:val="28"/>
          <w:highlight w:val="none"/>
        </w:rPr>
      </w:pPr>
    </w:p>
    <w:p w14:paraId="24E88036">
      <w:pPr>
        <w:spacing w:line="360" w:lineRule="auto"/>
        <w:outlineLvl w:val="1"/>
        <w:rPr>
          <w:rFonts w:ascii="宋体" w:hAnsi="宋体" w:cs="宋体"/>
          <w:b/>
          <w:bCs/>
          <w:color w:val="0D0D0D"/>
          <w:kern w:val="0"/>
          <w:sz w:val="28"/>
          <w:szCs w:val="28"/>
          <w:highlight w:val="none"/>
        </w:rPr>
      </w:pPr>
    </w:p>
    <w:p w14:paraId="06AA5916">
      <w:pPr>
        <w:spacing w:line="360" w:lineRule="auto"/>
        <w:outlineLvl w:val="1"/>
        <w:rPr>
          <w:rFonts w:ascii="宋体" w:hAnsi="宋体" w:cs="宋体"/>
          <w:b/>
          <w:bCs/>
          <w:color w:val="0D0D0D"/>
          <w:kern w:val="0"/>
          <w:sz w:val="28"/>
          <w:szCs w:val="28"/>
          <w:highlight w:val="none"/>
        </w:rPr>
      </w:pPr>
    </w:p>
    <w:p w14:paraId="1CD17143">
      <w:pPr>
        <w:spacing w:line="360" w:lineRule="auto"/>
        <w:outlineLvl w:val="1"/>
        <w:rPr>
          <w:rFonts w:ascii="宋体" w:hAnsi="宋体" w:cs="宋体"/>
          <w:b/>
          <w:bCs/>
          <w:color w:val="0D0D0D"/>
          <w:kern w:val="0"/>
          <w:sz w:val="28"/>
          <w:szCs w:val="28"/>
          <w:highlight w:val="none"/>
        </w:rPr>
      </w:pPr>
    </w:p>
    <w:p w14:paraId="61B9FE3C">
      <w:pPr>
        <w:pStyle w:val="13"/>
        <w:rPr>
          <w:rFonts w:hint="eastAsia" w:ascii="宋体" w:hAnsi="宋体" w:cs="宋体"/>
          <w:b/>
          <w:bCs/>
          <w:color w:val="0D0D0D"/>
          <w:sz w:val="28"/>
          <w:szCs w:val="28"/>
          <w:highlight w:val="none"/>
        </w:rPr>
      </w:pPr>
    </w:p>
    <w:p w14:paraId="00F81957">
      <w:pPr>
        <w:pStyle w:val="13"/>
        <w:rPr>
          <w:rFonts w:ascii="宋体" w:hAnsi="宋体" w:cs="宋体"/>
          <w:b/>
          <w:bCs/>
          <w:color w:val="0D0D0D"/>
          <w:sz w:val="28"/>
          <w:szCs w:val="28"/>
          <w:highlight w:val="none"/>
        </w:rPr>
      </w:pPr>
    </w:p>
    <w:p w14:paraId="2CBAD95F">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14:paraId="17C4E72D">
      <w:pPr>
        <w:jc w:val="center"/>
        <w:rPr>
          <w:rFonts w:ascii="宋体" w:hAnsi="宋体"/>
          <w:b/>
          <w:sz w:val="20"/>
          <w:highlight w:val="none"/>
        </w:rPr>
      </w:pPr>
      <w:r>
        <w:rPr>
          <w:rFonts w:hint="eastAsia" w:ascii="宋体" w:hAnsi="宋体" w:cs="宋体"/>
          <w:b/>
          <w:color w:val="0D0D0D"/>
          <w:sz w:val="24"/>
          <w:szCs w:val="28"/>
          <w:highlight w:val="none"/>
        </w:rPr>
        <w:t>的书面声明</w:t>
      </w:r>
    </w:p>
    <w:p w14:paraId="5E0F75F7">
      <w:pPr>
        <w:rPr>
          <w:rFonts w:ascii="宋体" w:hAnsi="宋体"/>
          <w:highlight w:val="none"/>
        </w:rPr>
      </w:pPr>
    </w:p>
    <w:p w14:paraId="50F956B0">
      <w:pPr>
        <w:widowControl/>
        <w:spacing w:line="360" w:lineRule="auto"/>
        <w:jc w:val="left"/>
        <w:rPr>
          <w:rFonts w:ascii="宋体" w:hAnsi="宋体" w:cs="宋体"/>
          <w:color w:val="000000"/>
          <w:sz w:val="23"/>
          <w:szCs w:val="23"/>
          <w:highlight w:val="none"/>
        </w:rPr>
      </w:pPr>
    </w:p>
    <w:p w14:paraId="412F0CCB">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14:paraId="769A470A">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14:paraId="71C57D70">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14:paraId="76D1DD47">
      <w:pPr>
        <w:spacing w:line="360" w:lineRule="auto"/>
        <w:ind w:right="-512" w:rightChars="-244" w:firstLine="2990" w:firstLineChars="1300"/>
        <w:rPr>
          <w:rFonts w:ascii="宋体" w:hAnsi="宋体" w:cs="宋体"/>
          <w:color w:val="000000"/>
          <w:sz w:val="23"/>
          <w:szCs w:val="23"/>
          <w:highlight w:val="none"/>
        </w:rPr>
      </w:pPr>
    </w:p>
    <w:p w14:paraId="394DB349">
      <w:pPr>
        <w:spacing w:line="360" w:lineRule="auto"/>
        <w:ind w:right="-512" w:rightChars="-244" w:firstLine="2990" w:firstLineChars="1300"/>
        <w:rPr>
          <w:rFonts w:ascii="宋体" w:hAnsi="宋体" w:cs="宋体"/>
          <w:color w:val="000000"/>
          <w:sz w:val="23"/>
          <w:szCs w:val="23"/>
          <w:highlight w:val="none"/>
        </w:rPr>
      </w:pPr>
    </w:p>
    <w:p w14:paraId="45E73D29">
      <w:pPr>
        <w:spacing w:line="360" w:lineRule="auto"/>
        <w:ind w:right="-512" w:rightChars="-244" w:firstLine="2990" w:firstLineChars="1300"/>
        <w:rPr>
          <w:rFonts w:hint="eastAsia" w:ascii="宋体" w:hAnsi="宋体" w:cs="宋体"/>
          <w:color w:val="000000"/>
          <w:sz w:val="23"/>
          <w:szCs w:val="23"/>
          <w:highlight w:val="none"/>
        </w:rPr>
      </w:pPr>
    </w:p>
    <w:p w14:paraId="01B40EA0">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14:paraId="59CEB561">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14:paraId="73BA6153">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14:paraId="60C339ED">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14:paraId="775D197D">
      <w:pPr>
        <w:spacing w:line="540" w:lineRule="exact"/>
        <w:rPr>
          <w:rFonts w:ascii="宋体" w:hAnsi="宋体"/>
          <w:sz w:val="28"/>
          <w:highlight w:val="none"/>
        </w:rPr>
      </w:pPr>
    </w:p>
    <w:p w14:paraId="5BF8FB70">
      <w:pPr>
        <w:spacing w:line="540" w:lineRule="exact"/>
        <w:rPr>
          <w:rFonts w:ascii="宋体" w:hAnsi="宋体"/>
          <w:sz w:val="28"/>
          <w:highlight w:val="none"/>
        </w:rPr>
      </w:pPr>
    </w:p>
    <w:p w14:paraId="79F149F2">
      <w:pPr>
        <w:spacing w:line="540" w:lineRule="exact"/>
        <w:rPr>
          <w:rFonts w:ascii="宋体" w:hAnsi="宋体"/>
          <w:sz w:val="28"/>
          <w:highlight w:val="none"/>
        </w:rPr>
      </w:pPr>
    </w:p>
    <w:p w14:paraId="4C0C9F35">
      <w:pPr>
        <w:spacing w:line="540" w:lineRule="exact"/>
        <w:rPr>
          <w:rFonts w:ascii="宋体" w:hAnsi="宋体"/>
          <w:sz w:val="28"/>
          <w:highlight w:val="none"/>
        </w:rPr>
      </w:pPr>
    </w:p>
    <w:p w14:paraId="73751725">
      <w:pPr>
        <w:spacing w:line="540" w:lineRule="exact"/>
        <w:rPr>
          <w:rFonts w:ascii="宋体" w:hAnsi="宋体"/>
          <w:sz w:val="28"/>
          <w:highlight w:val="none"/>
        </w:rPr>
      </w:pPr>
    </w:p>
    <w:p w14:paraId="10A8A0B1">
      <w:pPr>
        <w:spacing w:line="540" w:lineRule="exact"/>
        <w:rPr>
          <w:rFonts w:ascii="宋体" w:hAnsi="宋体"/>
          <w:sz w:val="28"/>
          <w:highlight w:val="none"/>
        </w:rPr>
      </w:pPr>
    </w:p>
    <w:p w14:paraId="4D9638BC">
      <w:pPr>
        <w:spacing w:line="540" w:lineRule="exact"/>
        <w:rPr>
          <w:rFonts w:ascii="宋体" w:hAnsi="宋体"/>
          <w:sz w:val="28"/>
          <w:highlight w:val="none"/>
        </w:rPr>
      </w:pPr>
    </w:p>
    <w:p w14:paraId="7B03781D">
      <w:pPr>
        <w:spacing w:line="540" w:lineRule="exact"/>
        <w:rPr>
          <w:rFonts w:ascii="宋体" w:hAnsi="宋体"/>
          <w:sz w:val="28"/>
          <w:highlight w:val="none"/>
        </w:rPr>
      </w:pPr>
    </w:p>
    <w:p w14:paraId="04B087B5">
      <w:pPr>
        <w:spacing w:line="540" w:lineRule="exact"/>
        <w:rPr>
          <w:rFonts w:hint="eastAsia" w:ascii="宋体" w:hAnsi="宋体"/>
          <w:sz w:val="28"/>
          <w:highlight w:val="none"/>
        </w:rPr>
      </w:pPr>
    </w:p>
    <w:p w14:paraId="467C7639">
      <w:pPr>
        <w:spacing w:line="540" w:lineRule="exact"/>
        <w:rPr>
          <w:rFonts w:ascii="宋体" w:hAnsi="宋体"/>
          <w:sz w:val="28"/>
          <w:highlight w:val="none"/>
        </w:rPr>
      </w:pPr>
    </w:p>
    <w:p w14:paraId="5DF55857">
      <w:pPr>
        <w:spacing w:line="540" w:lineRule="exact"/>
        <w:rPr>
          <w:rFonts w:ascii="宋体" w:hAnsi="宋体"/>
          <w:sz w:val="28"/>
          <w:highlight w:val="none"/>
        </w:rPr>
      </w:pPr>
    </w:p>
    <w:p w14:paraId="3DF476C0">
      <w:pPr>
        <w:spacing w:line="480" w:lineRule="exact"/>
        <w:jc w:val="center"/>
        <w:rPr>
          <w:rFonts w:ascii="宋体" w:hAnsi="宋体"/>
          <w:bCs/>
          <w:sz w:val="36"/>
          <w:highlight w:val="none"/>
        </w:rPr>
      </w:pPr>
      <w:r>
        <w:rPr>
          <w:rFonts w:hint="eastAsia" w:ascii="宋体" w:hAnsi="宋体"/>
          <w:bCs/>
          <w:sz w:val="36"/>
          <w:highlight w:val="none"/>
        </w:rPr>
        <w:t>质量承诺书</w:t>
      </w:r>
    </w:p>
    <w:p w14:paraId="692E1A13">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14:paraId="02304128">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14:paraId="2D445373">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lang w:val="en-US" w:eastAsia="zh-CN"/>
        </w:rPr>
        <w:t>1</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14:paraId="48ADAA90">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lang w:val="en-US" w:eastAsia="zh-CN"/>
        </w:rPr>
        <w:t>2</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lang w:val="zh-CN"/>
        </w:rPr>
        <w:t>本单位在成交后提供的货物与</w:t>
      </w:r>
      <w:r>
        <w:rPr>
          <w:rFonts w:hint="eastAsia" w:ascii="仿宋" w:hAnsi="仿宋" w:eastAsia="仿宋" w:cs="仿宋"/>
          <w:bCs/>
          <w:sz w:val="28"/>
          <w:szCs w:val="28"/>
          <w:highlight w:val="none"/>
          <w:lang w:val="en-US" w:eastAsia="zh-CN"/>
        </w:rPr>
        <w:t>样品或</w:t>
      </w:r>
      <w:r>
        <w:rPr>
          <w:rFonts w:hint="eastAsia" w:ascii="仿宋" w:hAnsi="仿宋" w:eastAsia="仿宋" w:cs="仿宋"/>
          <w:bCs/>
          <w:sz w:val="28"/>
          <w:szCs w:val="28"/>
          <w:highlight w:val="none"/>
          <w:lang w:val="zh-CN"/>
        </w:rPr>
        <w:t>采购文件要求不一致时，贵单位即取消我单位供货资格并终止合同，引发的一切后果由我单位自行承担。</w:t>
      </w:r>
    </w:p>
    <w:p w14:paraId="494B89F7">
      <w:pPr>
        <w:spacing w:after="120" w:line="480" w:lineRule="exact"/>
        <w:ind w:left="420" w:leftChars="200"/>
        <w:rPr>
          <w:rFonts w:hint="eastAsia" w:ascii="宋体" w:hAnsi="宋体"/>
          <w:bCs/>
          <w:sz w:val="28"/>
          <w:szCs w:val="28"/>
          <w:highlight w:val="none"/>
        </w:rPr>
      </w:pPr>
    </w:p>
    <w:p w14:paraId="4DB67354">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14:paraId="3FFFEF0A">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14:paraId="4BE3948B">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14:paraId="3797BF26">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14:paraId="40BBFC04">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60669">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abstractNum w:abstractNumId="1">
    <w:nsid w:val="79AE8E74"/>
    <w:multiLevelType w:val="multilevel"/>
    <w:tmpl w:val="79AE8E74"/>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21900C6"/>
    <w:rsid w:val="02E35293"/>
    <w:rsid w:val="03667C72"/>
    <w:rsid w:val="03BD1133"/>
    <w:rsid w:val="04163446"/>
    <w:rsid w:val="04D53301"/>
    <w:rsid w:val="060101C2"/>
    <w:rsid w:val="08D04983"/>
    <w:rsid w:val="108B6ADF"/>
    <w:rsid w:val="1277225B"/>
    <w:rsid w:val="13763F01"/>
    <w:rsid w:val="1441474E"/>
    <w:rsid w:val="14860174"/>
    <w:rsid w:val="1EB26C8F"/>
    <w:rsid w:val="22787170"/>
    <w:rsid w:val="2590026B"/>
    <w:rsid w:val="28F52925"/>
    <w:rsid w:val="2B465B0F"/>
    <w:rsid w:val="2C3100EF"/>
    <w:rsid w:val="31B1462B"/>
    <w:rsid w:val="34AC3AD5"/>
    <w:rsid w:val="3502780C"/>
    <w:rsid w:val="370B3A6C"/>
    <w:rsid w:val="378B76CC"/>
    <w:rsid w:val="3B251BE5"/>
    <w:rsid w:val="3C4D64ED"/>
    <w:rsid w:val="3E6A11F8"/>
    <w:rsid w:val="408A4167"/>
    <w:rsid w:val="412E6FAE"/>
    <w:rsid w:val="41EC0D67"/>
    <w:rsid w:val="45963EE5"/>
    <w:rsid w:val="4F26789B"/>
    <w:rsid w:val="4FC564AC"/>
    <w:rsid w:val="515D3A2F"/>
    <w:rsid w:val="54837309"/>
    <w:rsid w:val="58390E65"/>
    <w:rsid w:val="59E7033A"/>
    <w:rsid w:val="607E12CC"/>
    <w:rsid w:val="613D2F35"/>
    <w:rsid w:val="66140709"/>
    <w:rsid w:val="66EF4CD2"/>
    <w:rsid w:val="680B58AB"/>
    <w:rsid w:val="6906243F"/>
    <w:rsid w:val="6AD77CF8"/>
    <w:rsid w:val="6DDB5FB0"/>
    <w:rsid w:val="6F1E43A6"/>
    <w:rsid w:val="6F780659"/>
    <w:rsid w:val="71380B4B"/>
    <w:rsid w:val="7698297C"/>
    <w:rsid w:val="7727085B"/>
    <w:rsid w:val="78393950"/>
    <w:rsid w:val="783D2AE9"/>
    <w:rsid w:val="7AE8258A"/>
    <w:rsid w:val="7C44115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21"/>
    <w:qFormat/>
    <w:uiPriority w:val="0"/>
    <w:pPr>
      <w:keepNext/>
      <w:keepLines/>
      <w:spacing w:before="340" w:after="330" w:line="576" w:lineRule="auto"/>
      <w:outlineLvl w:val="0"/>
    </w:pPr>
    <w:rPr>
      <w:rFonts w:ascii="Times New Roman" w:hAnsi="Times New Roman"/>
      <w:b/>
      <w:kern w:val="44"/>
      <w:sz w:val="44"/>
      <w:szCs w:val="20"/>
    </w:rPr>
  </w:style>
  <w:style w:type="paragraph" w:styleId="5">
    <w:name w:val="heading 2"/>
    <w:basedOn w:val="1"/>
    <w:next w:val="1"/>
    <w:link w:val="22"/>
    <w:qFormat/>
    <w:uiPriority w:val="0"/>
    <w:pPr>
      <w:spacing w:before="100" w:beforeAutospacing="1" w:after="100" w:afterAutospacing="1"/>
      <w:jc w:val="left"/>
      <w:outlineLvl w:val="1"/>
    </w:pPr>
    <w:rPr>
      <w:rFonts w:ascii="宋体" w:hAnsi="宋体"/>
      <w:b/>
      <w:kern w:val="0"/>
      <w:sz w:val="36"/>
      <w:szCs w:val="36"/>
    </w:rPr>
  </w:style>
  <w:style w:type="paragraph" w:styleId="6">
    <w:name w:val="heading 3"/>
    <w:basedOn w:val="1"/>
    <w:next w:val="1"/>
    <w:qFormat/>
    <w:uiPriority w:val="0"/>
    <w:pPr>
      <w:keepNext/>
      <w:keepLines/>
      <w:numPr>
        <w:ilvl w:val="2"/>
        <w:numId w:val="1"/>
      </w:numPr>
      <w:spacing w:before="260" w:after="260" w:line="413" w:lineRule="auto"/>
      <w:ind w:left="720" w:hanging="720"/>
      <w:outlineLvl w:val="2"/>
    </w:pPr>
    <w:rPr>
      <w:b/>
      <w:sz w:val="32"/>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2">
    <w:name w:val="Body Text First Indent"/>
    <w:basedOn w:val="3"/>
    <w:link w:val="29"/>
    <w:qFormat/>
    <w:uiPriority w:val="0"/>
  </w:style>
  <w:style w:type="paragraph" w:styleId="3">
    <w:name w:val="Body Text"/>
    <w:basedOn w:val="1"/>
    <w:link w:val="23"/>
    <w:qFormat/>
    <w:uiPriority w:val="0"/>
    <w:pPr>
      <w:spacing w:after="120"/>
    </w:pPr>
    <w:rPr>
      <w:rFonts w:ascii="Times New Roman" w:hAnsi="Times New Roman"/>
      <w:szCs w:val="20"/>
    </w:rPr>
  </w:style>
  <w:style w:type="paragraph" w:styleId="7">
    <w:name w:val="index 5"/>
    <w:basedOn w:val="1"/>
    <w:next w:val="1"/>
    <w:qFormat/>
    <w:uiPriority w:val="0"/>
    <w:pPr>
      <w:ind w:left="798"/>
      <w:jc w:val="left"/>
    </w:pPr>
    <w:rPr>
      <w:rFonts w:ascii="Calibri" w:hAnsi="Calibri"/>
    </w:rPr>
  </w:style>
  <w:style w:type="paragraph" w:styleId="8">
    <w:name w:val="Body Text Indent"/>
    <w:basedOn w:val="1"/>
    <w:link w:val="24"/>
    <w:qFormat/>
    <w:uiPriority w:val="0"/>
    <w:pPr>
      <w:spacing w:after="120"/>
      <w:ind w:left="420" w:leftChars="200"/>
    </w:pPr>
    <w:rPr>
      <w:rFonts w:ascii="Times New Roman" w:hAnsi="Times New Roman"/>
      <w:szCs w:val="20"/>
    </w:rPr>
  </w:style>
  <w:style w:type="paragraph" w:styleId="9">
    <w:name w:val="Body Text Indent 2"/>
    <w:basedOn w:val="1"/>
    <w:link w:val="25"/>
    <w:qFormat/>
    <w:uiPriority w:val="0"/>
    <w:pPr>
      <w:spacing w:line="480" w:lineRule="auto"/>
      <w:ind w:left="200" w:leftChars="200"/>
    </w:pPr>
    <w:rPr>
      <w:rFonts w:ascii="Times New Roman" w:hAnsi="Times New Roman"/>
    </w:rPr>
  </w:style>
  <w:style w:type="paragraph" w:styleId="10">
    <w:name w:val="Balloon Text"/>
    <w:basedOn w:val="1"/>
    <w:link w:val="26"/>
    <w:unhideWhenUsed/>
    <w:qFormat/>
    <w:uiPriority w:val="0"/>
    <w:rPr>
      <w:sz w:val="18"/>
      <w:szCs w:val="18"/>
    </w:rPr>
  </w:style>
  <w:style w:type="paragraph" w:styleId="11">
    <w:name w:val="footer"/>
    <w:basedOn w:val="1"/>
    <w:link w:val="27"/>
    <w:unhideWhenUsed/>
    <w:qFormat/>
    <w:uiPriority w:val="0"/>
    <w:pPr>
      <w:tabs>
        <w:tab w:val="center" w:pos="4153"/>
        <w:tab w:val="right" w:pos="8306"/>
      </w:tabs>
      <w:snapToGrid w:val="0"/>
      <w:jc w:val="left"/>
    </w:pPr>
    <w:rPr>
      <w:kern w:val="0"/>
      <w:sz w:val="18"/>
      <w:szCs w:val="18"/>
    </w:rPr>
  </w:style>
  <w:style w:type="paragraph" w:styleId="12">
    <w:name w:val="header"/>
    <w:basedOn w:val="1"/>
    <w:link w:val="28"/>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footnote text"/>
    <w:basedOn w:val="1"/>
    <w:next w:val="7"/>
    <w:link w:val="20"/>
    <w:semiHidden/>
    <w:qFormat/>
    <w:uiPriority w:val="99"/>
    <w:pPr>
      <w:snapToGrid w:val="0"/>
      <w:jc w:val="left"/>
    </w:pPr>
    <w:rPr>
      <w:rFonts w:ascii="Times New Roman" w:hAnsi="Times New Roman"/>
      <w:kern w:val="0"/>
      <w:sz w:val="18"/>
      <w:szCs w:val="18"/>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5">
    <w:name w:val="Body Text First Indent 2"/>
    <w:basedOn w:val="8"/>
    <w:next w:val="16"/>
    <w:link w:val="30"/>
    <w:qFormat/>
    <w:uiPriority w:val="0"/>
    <w:pPr>
      <w:spacing w:line="15" w:lineRule="auto"/>
      <w:ind w:left="0" w:leftChars="0"/>
    </w:pPr>
    <w:rPr>
      <w:rFonts w:ascii="Calibri" w:hAnsi="Calibri"/>
    </w:rPr>
  </w:style>
  <w:style w:type="paragraph" w:customStyle="1" w:styleId="16">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kern w:val="0"/>
      <w:sz w:val="20"/>
      <w:szCs w:val="20"/>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脚注文本 Char"/>
    <w:link w:val="13"/>
    <w:semiHidden/>
    <w:qFormat/>
    <w:uiPriority w:val="99"/>
    <w:rPr>
      <w:rFonts w:ascii="Times New Roman" w:hAnsi="Times New Roman"/>
      <w:sz w:val="18"/>
      <w:szCs w:val="18"/>
    </w:rPr>
  </w:style>
  <w:style w:type="character" w:customStyle="1" w:styleId="21">
    <w:name w:val="标题 1 Char"/>
    <w:link w:val="4"/>
    <w:qFormat/>
    <w:uiPriority w:val="0"/>
    <w:rPr>
      <w:rFonts w:ascii="Times New Roman" w:hAnsi="Times New Roman"/>
      <w:b/>
      <w:kern w:val="44"/>
      <w:sz w:val="44"/>
    </w:rPr>
  </w:style>
  <w:style w:type="character" w:customStyle="1" w:styleId="22">
    <w:name w:val="标题 2 Char1"/>
    <w:link w:val="5"/>
    <w:qFormat/>
    <w:uiPriority w:val="0"/>
    <w:rPr>
      <w:rFonts w:ascii="宋体" w:hAnsi="宋体" w:cs="宋体"/>
      <w:b/>
      <w:sz w:val="36"/>
      <w:szCs w:val="36"/>
    </w:rPr>
  </w:style>
  <w:style w:type="character" w:customStyle="1" w:styleId="23">
    <w:name w:val="正文文本 Char"/>
    <w:link w:val="3"/>
    <w:qFormat/>
    <w:uiPriority w:val="0"/>
    <w:rPr>
      <w:rFonts w:ascii="Times New Roman" w:hAnsi="Times New Roman"/>
      <w:kern w:val="2"/>
      <w:sz w:val="21"/>
    </w:rPr>
  </w:style>
  <w:style w:type="character" w:customStyle="1" w:styleId="24">
    <w:name w:val="正文文本缩进 Char"/>
    <w:link w:val="8"/>
    <w:qFormat/>
    <w:uiPriority w:val="0"/>
    <w:rPr>
      <w:rFonts w:ascii="Times New Roman" w:hAnsi="Times New Roman"/>
      <w:kern w:val="2"/>
      <w:sz w:val="21"/>
    </w:rPr>
  </w:style>
  <w:style w:type="character" w:customStyle="1" w:styleId="25">
    <w:name w:val="正文文本缩进 2 Char"/>
    <w:link w:val="9"/>
    <w:qFormat/>
    <w:uiPriority w:val="0"/>
    <w:rPr>
      <w:rFonts w:ascii="Times New Roman" w:hAnsi="Times New Roman"/>
      <w:kern w:val="2"/>
      <w:sz w:val="21"/>
      <w:szCs w:val="22"/>
    </w:rPr>
  </w:style>
  <w:style w:type="character" w:customStyle="1" w:styleId="26">
    <w:name w:val="批注框文本 Char"/>
    <w:link w:val="10"/>
    <w:qFormat/>
    <w:uiPriority w:val="0"/>
    <w:rPr>
      <w:kern w:val="2"/>
      <w:sz w:val="18"/>
      <w:szCs w:val="18"/>
    </w:rPr>
  </w:style>
  <w:style w:type="character" w:customStyle="1" w:styleId="27">
    <w:name w:val="页脚 Char"/>
    <w:link w:val="11"/>
    <w:qFormat/>
    <w:uiPriority w:val="0"/>
    <w:rPr>
      <w:sz w:val="18"/>
      <w:szCs w:val="18"/>
    </w:rPr>
  </w:style>
  <w:style w:type="character" w:customStyle="1" w:styleId="28">
    <w:name w:val="页眉 Char"/>
    <w:link w:val="12"/>
    <w:qFormat/>
    <w:uiPriority w:val="0"/>
    <w:rPr>
      <w:sz w:val="18"/>
      <w:szCs w:val="18"/>
    </w:rPr>
  </w:style>
  <w:style w:type="character" w:customStyle="1" w:styleId="29">
    <w:name w:val="正文首行缩进 Char"/>
    <w:basedOn w:val="23"/>
    <w:link w:val="2"/>
    <w:qFormat/>
    <w:uiPriority w:val="0"/>
  </w:style>
  <w:style w:type="character" w:customStyle="1" w:styleId="30">
    <w:name w:val="正文首行缩进 2 Char"/>
    <w:basedOn w:val="24"/>
    <w:link w:val="15"/>
    <w:qFormat/>
    <w:uiPriority w:val="0"/>
  </w:style>
  <w:style w:type="character" w:customStyle="1" w:styleId="31">
    <w:name w:val="标题 2 Char"/>
    <w:semiHidden/>
    <w:qFormat/>
    <w:uiPriority w:val="9"/>
    <w:rPr>
      <w:rFonts w:ascii="Calibri Light" w:hAnsi="Calibri Light" w:eastAsia="宋体" w:cs="Times New Roman"/>
      <w:b/>
      <w:bCs/>
      <w:kern w:val="2"/>
      <w:sz w:val="32"/>
      <w:szCs w:val="32"/>
    </w:rPr>
  </w:style>
  <w:style w:type="table" w:customStyle="1" w:styleId="32">
    <w:name w:val="Table Normal"/>
    <w:basedOn w:val="17"/>
    <w:unhideWhenUsed/>
    <w:qFormat/>
    <w:uiPriority w:val="0"/>
    <w:rPr>
      <w:rFonts w:ascii="Times New Roman" w:hAnsi="Times New Roman"/>
    </w:rPr>
    <w:tblPr>
      <w:tblCellMar>
        <w:left w:w="0" w:type="dxa"/>
        <w:right w:w="0" w:type="dxa"/>
      </w:tblCellMar>
    </w:tblPr>
  </w:style>
  <w:style w:type="paragraph" w:customStyle="1" w:styleId="33">
    <w:name w:val=" Char"/>
    <w:basedOn w:val="1"/>
    <w:qFormat/>
    <w:uiPriority w:val="0"/>
    <w:rPr>
      <w:rFonts w:ascii="Times New Roman" w:hAnsi="Times New Roman"/>
      <w:szCs w:val="20"/>
    </w:rPr>
  </w:style>
  <w:style w:type="paragraph" w:customStyle="1" w:styleId="34">
    <w:name w:val="Char"/>
    <w:basedOn w:val="1"/>
    <w:qFormat/>
    <w:uiPriority w:val="0"/>
    <w:rPr>
      <w:rFonts w:ascii="Times New Roman" w:hAnsi="Times New Roman"/>
      <w:szCs w:val="24"/>
    </w:rPr>
  </w:style>
  <w:style w:type="paragraph" w:customStyle="1" w:styleId="35">
    <w:name w:val="Table Text"/>
    <w:basedOn w:val="1"/>
    <w:semiHidden/>
    <w:qFormat/>
    <w:uiPriority w:val="0"/>
    <w:rPr>
      <w:rFonts w:ascii="宋体" w:hAnsi="宋体" w:eastAsia="宋体" w:cs="宋体"/>
      <w:sz w:val="21"/>
      <w:szCs w:val="21"/>
      <w:lang w:val="en-US" w:eastAsia="en-US" w:bidi="ar-SA"/>
    </w:rPr>
  </w:style>
  <w:style w:type="character" w:customStyle="1" w:styleId="36">
    <w:name w:val="font01"/>
    <w:basedOn w:val="19"/>
    <w:qFormat/>
    <w:uiPriority w:val="0"/>
    <w:rPr>
      <w:rFonts w:hint="eastAsia" w:ascii="宋体" w:hAnsi="宋体" w:eastAsia="宋体" w:cs="宋体"/>
      <w:color w:val="000000"/>
      <w:sz w:val="22"/>
      <w:szCs w:val="22"/>
      <w:u w:val="none"/>
    </w:rPr>
  </w:style>
  <w:style w:type="character" w:customStyle="1" w:styleId="37">
    <w:name w:val="font21"/>
    <w:basedOn w:val="19"/>
    <w:qFormat/>
    <w:uiPriority w:val="0"/>
    <w:rPr>
      <w:rFonts w:hint="default" w:ascii="Times New Roman" w:hAnsi="Times New Roman" w:cs="Times New Roman"/>
      <w:color w:val="000000"/>
      <w:sz w:val="22"/>
      <w:szCs w:val="22"/>
      <w:u w:val="none"/>
    </w:rPr>
  </w:style>
  <w:style w:type="paragraph" w:customStyle="1" w:styleId="3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21</Pages>
  <Words>9642</Words>
  <Characters>10335</Characters>
  <Lines>49</Lines>
  <Paragraphs>13</Paragraphs>
  <TotalTime>16</TotalTime>
  <ScaleCrop>false</ScaleCrop>
  <LinksUpToDate>false</LinksUpToDate>
  <CharactersWithSpaces>11201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2024-11-19T06:27:16Z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4703F5F654224E13AA19941D5A1B7361_13</vt:lpwstr>
  </property>
</Properties>
</file>