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2"/>
      <w:bookmarkStart w:id="1" w:name="OLE_LINK1"/>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宿舍部分家具项目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p>
    <w:p>
      <w:pPr>
        <w:widowControl/>
        <w:shd w:val="clear" w:color="auto" w:fill="FFFFFF"/>
        <w:spacing w:line="42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海安裕海贸易有限公司宿舍部分家具采购项目的潜在供应商应在海安市城建开发投资集团有限公司</w:t>
      </w:r>
      <w:r>
        <w:rPr>
          <w:rFonts w:hint="eastAsia" w:ascii="宋体" w:hAnsi="宋体" w:cs="宋体"/>
          <w:color w:val="333333"/>
          <w:spacing w:val="7"/>
          <w:kern w:val="0"/>
          <w:sz w:val="24"/>
          <w:szCs w:val="24"/>
          <w:highlight w:val="none"/>
          <w:lang w:val="en-US" w:eastAsia="zh-CN"/>
        </w:rPr>
        <w:t>及子公司</w:t>
      </w:r>
      <w:r>
        <w:rPr>
          <w:rFonts w:hint="eastAsia" w:ascii="宋体" w:hAnsi="宋体" w:cs="宋体"/>
          <w:color w:val="333333"/>
          <w:spacing w:val="7"/>
          <w:kern w:val="0"/>
          <w:sz w:val="24"/>
          <w:szCs w:val="24"/>
          <w:highlight w:val="none"/>
        </w:rPr>
        <w:t>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28</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 xml:space="preserve">0 </w:t>
      </w:r>
      <w:r>
        <w:rPr>
          <w:rFonts w:hint="eastAsia" w:ascii="宋体" w:hAnsi="宋体" w:cs="宋体"/>
          <w:color w:val="333333"/>
          <w:spacing w:val="7"/>
          <w:kern w:val="0"/>
          <w:sz w:val="24"/>
          <w:szCs w:val="24"/>
          <w:highlight w:val="none"/>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宿舍部分家具采购项目</w:t>
      </w:r>
    </w:p>
    <w:p>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126.66</w:t>
      </w:r>
      <w:r>
        <w:rPr>
          <w:rFonts w:hint="eastAsia" w:ascii="宋体" w:hAnsi="宋体" w:cs="宋体"/>
          <w:color w:val="333333"/>
          <w:spacing w:val="7"/>
          <w:kern w:val="0"/>
          <w:sz w:val="24"/>
          <w:szCs w:val="24"/>
          <w:highlight w:val="none"/>
        </w:rPr>
        <w:t>万元。最终报价超过最高限价的为无效响应文件。（自报单价，报价包含成本、利润、13%税金、二次搬运费等所需所有的费用，应充分考虑市场风险和供货过程中可能发生的费用进行报价。）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1）具有独立法人资格的专业生产厂家或经销商，经销商成交后提供生产厂家的授权书；</w:t>
      </w:r>
    </w:p>
    <w:p>
      <w:pPr>
        <w:widowControl/>
        <w:shd w:val="clear" w:color="auto" w:fill="FFFFFF"/>
        <w:spacing w:line="420" w:lineRule="exact"/>
        <w:ind w:firstLine="495" w:firstLineChars="195"/>
        <w:rPr>
          <w:rFonts w:ascii="宋体" w:hAnsi="宋体" w:cs="宋体"/>
          <w:spacing w:val="7"/>
          <w:kern w:val="0"/>
          <w:sz w:val="24"/>
          <w:szCs w:val="24"/>
          <w:highlight w:val="none"/>
        </w:rPr>
      </w:pPr>
      <w:r>
        <w:rPr>
          <w:rFonts w:hint="eastAsia" w:ascii="宋体" w:hAnsi="宋体" w:cs="宋体"/>
          <w:spacing w:val="7"/>
          <w:kern w:val="0"/>
          <w:sz w:val="24"/>
          <w:szCs w:val="24"/>
          <w:highlight w:val="none"/>
        </w:rPr>
        <w:t>2）报价人须提供质量承诺书（格式见附件）。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时间：发布之日起至2024年0</w:t>
      </w:r>
      <w:r>
        <w:rPr>
          <w:rFonts w:hint="eastAsia" w:ascii="宋体" w:hAnsi="宋体" w:cs="宋体"/>
          <w:spacing w:val="7"/>
          <w:kern w:val="0"/>
          <w:sz w:val="24"/>
          <w:szCs w:val="24"/>
          <w:highlight w:val="none"/>
          <w:lang w:val="en-US" w:eastAsia="zh-CN"/>
        </w:rPr>
        <w:t>6</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28</w:t>
      </w:r>
      <w:r>
        <w:rPr>
          <w:rFonts w:hint="eastAsia" w:ascii="宋体" w:hAnsi="宋体" w:cs="宋体"/>
          <w:spacing w:val="7"/>
          <w:kern w:val="0"/>
          <w:sz w:val="24"/>
          <w:szCs w:val="24"/>
          <w:highlight w:val="none"/>
        </w:rPr>
        <w:t>日</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28</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0</w:t>
      </w:r>
      <w:r>
        <w:rPr>
          <w:rFonts w:hint="eastAsia" w:ascii="宋体" w:hAnsi="宋体" w:cs="宋体"/>
          <w:color w:val="333333"/>
          <w:spacing w:val="7"/>
          <w:kern w:val="0"/>
          <w:sz w:val="24"/>
          <w:szCs w:val="24"/>
          <w:highlight w:val="none"/>
        </w:rPr>
        <w:t>（北京时间）</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24000</w:t>
      </w:r>
      <w:r>
        <w:rPr>
          <w:rFonts w:ascii="宋体" w:hAnsi="宋体" w:cs="宋体"/>
          <w:color w:val="333333"/>
          <w:spacing w:val="7"/>
          <w:kern w:val="0"/>
          <w:sz w:val="24"/>
          <w:szCs w:val="24"/>
          <w:highlight w:val="none"/>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、项目演示、样品、答辩等（如有请描述）：无</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宿舍部分家具</w:t>
      </w:r>
      <w:r>
        <w:rPr>
          <w:rFonts w:hint="eastAsia" w:ascii="宋体" w:hAnsi="宋体"/>
          <w:sz w:val="36"/>
          <w:szCs w:val="31"/>
          <w:highlight w:val="none"/>
        </w:rPr>
        <w:t>采购文件</w:t>
      </w:r>
    </w:p>
    <w:p>
      <w:pPr>
        <w:spacing w:line="500" w:lineRule="exact"/>
        <w:ind w:firstLine="573"/>
        <w:rPr>
          <w:rFonts w:hint="eastAsia" w:ascii="宋体" w:hAnsi="宋体"/>
          <w:sz w:val="28"/>
          <w:highlight w:val="none"/>
        </w:rPr>
      </w:pPr>
      <w:r>
        <w:rPr>
          <w:rFonts w:hint="eastAsia" w:ascii="宋体" w:hAnsi="宋体"/>
          <w:sz w:val="28"/>
          <w:highlight w:val="none"/>
        </w:rPr>
        <w:t>海安裕海贸易有限公司现对</w:t>
      </w:r>
      <w:r>
        <w:rPr>
          <w:rFonts w:hint="eastAsia" w:ascii="宋体" w:hAnsi="宋体"/>
          <w:sz w:val="28"/>
          <w:highlight w:val="none"/>
          <w:lang w:val="en-US" w:eastAsia="zh-CN"/>
        </w:rPr>
        <w:t>宿舍部分家具</w:t>
      </w:r>
      <w:r>
        <w:rPr>
          <w:rFonts w:hint="eastAsia" w:ascii="宋体" w:hAnsi="宋体"/>
          <w:sz w:val="28"/>
          <w:highlight w:val="none"/>
        </w:rPr>
        <w:t>项目进行采购，现邀请有相关能力的供应商参加报价。</w:t>
      </w:r>
    </w:p>
    <w:p>
      <w:pPr>
        <w:spacing w:line="500" w:lineRule="exact"/>
        <w:ind w:firstLine="573"/>
        <w:rPr>
          <w:rFonts w:hint="eastAsia" w:ascii="宋体" w:hAnsi="宋体"/>
          <w:sz w:val="28"/>
          <w:highlight w:val="none"/>
        </w:rPr>
      </w:pPr>
      <w:r>
        <w:rPr>
          <w:rFonts w:hint="eastAsia" w:ascii="宋体" w:hAnsi="宋体"/>
          <w:sz w:val="28"/>
          <w:highlight w:val="none"/>
        </w:rPr>
        <w:t>一、报价须知:</w:t>
      </w:r>
    </w:p>
    <w:p>
      <w:pPr>
        <w:spacing w:line="500" w:lineRule="exact"/>
        <w:ind w:firstLine="573"/>
        <w:rPr>
          <w:rFonts w:hint="eastAsia" w:ascii="宋体" w:hAnsi="宋体"/>
          <w:sz w:val="28"/>
          <w:highlight w:val="none"/>
        </w:rPr>
      </w:pPr>
      <w:r>
        <w:rPr>
          <w:rFonts w:hint="eastAsia" w:ascii="宋体" w:hAnsi="宋体"/>
          <w:sz w:val="28"/>
          <w:highlight w:val="none"/>
        </w:rPr>
        <w:t>1、报价人资格要求</w:t>
      </w:r>
    </w:p>
    <w:p>
      <w:pPr>
        <w:spacing w:line="5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1</w:t>
      </w:r>
      <w:r>
        <w:rPr>
          <w:rFonts w:hint="eastAsia" w:ascii="宋体" w:hAnsi="宋体"/>
          <w:sz w:val="28"/>
          <w:highlight w:val="none"/>
        </w:rPr>
        <w:t>法人或者其他组织的营业执照等证明文件，自然人的身份证明；</w:t>
      </w:r>
    </w:p>
    <w:p>
      <w:pPr>
        <w:spacing w:line="500" w:lineRule="exact"/>
        <w:ind w:firstLine="570"/>
        <w:rPr>
          <w:rFonts w:hint="eastAsia" w:ascii="宋体" w:hAnsi="宋体"/>
          <w:sz w:val="28"/>
          <w:highlight w:val="none"/>
        </w:rPr>
      </w:pPr>
      <w:r>
        <w:rPr>
          <w:rFonts w:ascii="宋体" w:hAnsi="宋体"/>
          <w:sz w:val="28"/>
          <w:highlight w:val="none"/>
        </w:rPr>
        <w:t>1.2</w:t>
      </w:r>
      <w:r>
        <w:rPr>
          <w:rFonts w:hint="eastAsia" w:ascii="宋体" w:hAnsi="宋体"/>
          <w:sz w:val="28"/>
          <w:highlight w:val="none"/>
        </w:rPr>
        <w:t>上一年度的财务状况报告承诺函或上一年度财务审计报告（新成立单位提供本年度承诺函，格式自拟）；</w:t>
      </w:r>
    </w:p>
    <w:p>
      <w:pPr>
        <w:spacing w:line="500" w:lineRule="exact"/>
        <w:ind w:firstLine="570"/>
        <w:rPr>
          <w:rFonts w:hint="eastAsia" w:ascii="宋体" w:hAnsi="宋体"/>
          <w:sz w:val="28"/>
          <w:highlight w:val="none"/>
        </w:rPr>
      </w:pPr>
      <w:r>
        <w:rPr>
          <w:rFonts w:ascii="宋体" w:hAnsi="宋体"/>
          <w:sz w:val="28"/>
          <w:highlight w:val="none"/>
        </w:rPr>
        <w:t>1.3</w:t>
      </w:r>
      <w:r>
        <w:rPr>
          <w:rFonts w:hint="eastAsia" w:ascii="宋体" w:hAnsi="宋体"/>
          <w:sz w:val="28"/>
          <w:highlight w:val="none"/>
        </w:rPr>
        <w:t>具有履行合同所必需的设备和专业技术能力（提供承诺函，格式可自拟）；</w:t>
      </w:r>
    </w:p>
    <w:p>
      <w:pPr>
        <w:spacing w:line="500" w:lineRule="exact"/>
        <w:ind w:firstLine="570"/>
        <w:rPr>
          <w:rFonts w:hint="eastAsia" w:ascii="宋体" w:hAnsi="宋体"/>
          <w:sz w:val="28"/>
          <w:highlight w:val="none"/>
        </w:rPr>
      </w:pPr>
      <w:r>
        <w:rPr>
          <w:rFonts w:ascii="宋体" w:hAnsi="宋体"/>
          <w:sz w:val="28"/>
          <w:highlight w:val="none"/>
        </w:rPr>
        <w:t>1.4</w:t>
      </w:r>
      <w:r>
        <w:rPr>
          <w:rFonts w:hint="eastAsia" w:ascii="宋体" w:hAnsi="宋体"/>
          <w:sz w:val="28"/>
          <w:highlight w:val="none"/>
        </w:rPr>
        <w:t>有依法缴纳税收和社会保障资金的良好记录（提供相关证明材料）；</w:t>
      </w:r>
    </w:p>
    <w:p>
      <w:pPr>
        <w:spacing w:line="500" w:lineRule="exact"/>
        <w:ind w:firstLine="570"/>
        <w:rPr>
          <w:rFonts w:hint="eastAsia" w:ascii="宋体" w:hAnsi="宋体"/>
          <w:sz w:val="28"/>
          <w:highlight w:val="none"/>
        </w:rPr>
      </w:pPr>
      <w:r>
        <w:rPr>
          <w:rFonts w:ascii="宋体" w:hAnsi="宋体"/>
          <w:sz w:val="28"/>
          <w:highlight w:val="none"/>
        </w:rPr>
        <w:t>1.5</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highlight w:val="none"/>
        </w:rPr>
      </w:pPr>
      <w:r>
        <w:rPr>
          <w:rFonts w:ascii="宋体" w:hAnsi="宋体"/>
          <w:sz w:val="28"/>
          <w:highlight w:val="none"/>
        </w:rPr>
        <w:t>1.6</w:t>
      </w:r>
      <w:r>
        <w:rPr>
          <w:rFonts w:hint="eastAsia" w:ascii="宋体" w:hAnsi="宋体"/>
          <w:sz w:val="28"/>
          <w:highlight w:val="none"/>
        </w:rPr>
        <w:t>本项目的特定资格要求：</w:t>
      </w:r>
    </w:p>
    <w:p>
      <w:pPr>
        <w:spacing w:line="500" w:lineRule="exact"/>
        <w:ind w:firstLine="570"/>
        <w:rPr>
          <w:rFonts w:hint="eastAsia" w:ascii="宋体" w:hAnsi="宋体"/>
          <w:b/>
          <w:sz w:val="28"/>
          <w:highlight w:val="none"/>
        </w:rPr>
      </w:pPr>
      <w:r>
        <w:rPr>
          <w:rFonts w:hint="eastAsia" w:ascii="宋体" w:hAnsi="宋体"/>
          <w:b/>
          <w:sz w:val="28"/>
          <w:highlight w:val="none"/>
        </w:rPr>
        <w:t>1）具有独立法人资格的专业生产厂家或经销商，经销商成交后提供生产厂家的授权书；</w:t>
      </w:r>
    </w:p>
    <w:p>
      <w:pPr>
        <w:spacing w:line="500" w:lineRule="exact"/>
        <w:ind w:firstLine="570"/>
        <w:rPr>
          <w:rFonts w:ascii="宋体" w:hAnsi="宋体"/>
          <w:b/>
          <w:sz w:val="28"/>
          <w:highlight w:val="none"/>
        </w:rPr>
      </w:pPr>
      <w:r>
        <w:rPr>
          <w:rFonts w:hint="eastAsia" w:ascii="宋体" w:hAnsi="宋体"/>
          <w:b/>
          <w:sz w:val="28"/>
          <w:highlight w:val="none"/>
        </w:rPr>
        <w:t>2）报价人须提供质量承诺书（格式见附件）。</w:t>
      </w:r>
    </w:p>
    <w:p>
      <w:pPr>
        <w:spacing w:line="500" w:lineRule="exact"/>
        <w:ind w:firstLine="570"/>
        <w:rPr>
          <w:rFonts w:hint="eastAsia" w:ascii="宋体" w:hAnsi="宋体"/>
          <w:sz w:val="28"/>
          <w:highlight w:val="none"/>
        </w:rPr>
      </w:pPr>
      <w:r>
        <w:rPr>
          <w:rFonts w:hint="eastAsia" w:ascii="宋体" w:hAnsi="宋体"/>
          <w:sz w:val="28"/>
          <w:highlight w:val="none"/>
        </w:rPr>
        <w:t>二、质量技术及相关要求:</w:t>
      </w:r>
    </w:p>
    <w:p>
      <w:pPr>
        <w:spacing w:line="480" w:lineRule="exact"/>
        <w:ind w:firstLine="564" w:firstLineChars="200"/>
        <w:rPr>
          <w:rFonts w:hint="eastAsia" w:ascii="宋体" w:hAnsi="宋体" w:cs="宋体"/>
          <w:spacing w:val="1"/>
          <w:sz w:val="28"/>
          <w:szCs w:val="24"/>
          <w:highlight w:val="none"/>
          <w:lang w:val="en-US" w:eastAsia="zh-CN"/>
        </w:rPr>
      </w:pPr>
      <w:r>
        <w:rPr>
          <w:rFonts w:hint="eastAsia" w:ascii="宋体" w:hAnsi="宋体" w:cs="宋体"/>
          <w:spacing w:val="1"/>
          <w:sz w:val="28"/>
          <w:szCs w:val="24"/>
          <w:highlight w:val="none"/>
          <w:lang w:val="en-US" w:eastAsia="zh-CN"/>
        </w:rPr>
        <w:t>1、技术标准及参数：详见附件</w:t>
      </w:r>
    </w:p>
    <w:p>
      <w:pPr>
        <w:spacing w:line="480" w:lineRule="exact"/>
        <w:ind w:firstLine="564" w:firstLineChars="200"/>
        <w:rPr>
          <w:rFonts w:hint="eastAsia" w:ascii="宋体" w:hAnsi="宋体" w:cs="宋体"/>
          <w:spacing w:val="1"/>
          <w:sz w:val="28"/>
          <w:szCs w:val="24"/>
          <w:highlight w:val="none"/>
          <w:lang w:val="en-US" w:eastAsia="zh-CN"/>
        </w:rPr>
      </w:pPr>
      <w:r>
        <w:rPr>
          <w:rFonts w:hint="eastAsia" w:ascii="宋体" w:hAnsi="宋体" w:cs="宋体"/>
          <w:spacing w:val="1"/>
          <w:sz w:val="28"/>
          <w:szCs w:val="24"/>
          <w:highlight w:val="none"/>
          <w:lang w:val="en-US" w:eastAsia="zh-CN"/>
        </w:rPr>
        <w:t>报价人技术要求应符合且不得低于相关国家标准采购要求。在合同有效期内，如与本合同标的物相关的国家质量标准发生变化，则以国家最新颁布的标准及规范执行。</w:t>
      </w:r>
    </w:p>
    <w:p>
      <w:pPr>
        <w:spacing w:line="500" w:lineRule="exact"/>
        <w:ind w:firstLine="570"/>
        <w:rPr>
          <w:rFonts w:ascii="宋体" w:hAnsi="宋体"/>
          <w:sz w:val="28"/>
          <w:highlight w:val="none"/>
        </w:rPr>
      </w:pPr>
      <w:r>
        <w:rPr>
          <w:rFonts w:hint="eastAsia" w:ascii="宋体" w:hAnsi="宋体"/>
          <w:sz w:val="28"/>
          <w:highlight w:val="none"/>
        </w:rPr>
        <w:t>2、其他</w:t>
      </w:r>
    </w:p>
    <w:p>
      <w:pPr>
        <w:spacing w:line="500" w:lineRule="exact"/>
        <w:ind w:firstLine="570"/>
        <w:rPr>
          <w:rFonts w:hint="eastAsia" w:ascii="宋体" w:hAnsi="宋体"/>
          <w:sz w:val="28"/>
          <w:highlight w:val="none"/>
        </w:rPr>
      </w:pPr>
      <w:r>
        <w:rPr>
          <w:rFonts w:hint="eastAsia" w:ascii="宋体" w:hAnsi="宋体"/>
          <w:sz w:val="28"/>
          <w:highlight w:val="none"/>
        </w:rPr>
        <w:t>2</w:t>
      </w:r>
      <w:r>
        <w:rPr>
          <w:rFonts w:ascii="宋体" w:hAnsi="宋体"/>
          <w:sz w:val="28"/>
          <w:highlight w:val="none"/>
        </w:rPr>
        <w:t>.1</w:t>
      </w:r>
      <w:r>
        <w:rPr>
          <w:rFonts w:hint="eastAsia" w:ascii="宋体" w:hAnsi="宋体"/>
          <w:sz w:val="28"/>
          <w:highlight w:val="none"/>
        </w:rPr>
        <w:t>售后服务</w:t>
      </w:r>
    </w:p>
    <w:p>
      <w:pPr>
        <w:spacing w:line="500" w:lineRule="exact"/>
        <w:ind w:firstLine="570"/>
        <w:rPr>
          <w:rFonts w:hint="eastAsia" w:ascii="宋体" w:hAnsi="宋体"/>
          <w:sz w:val="28"/>
          <w:highlight w:val="none"/>
          <w:lang w:eastAsia="zh-CN"/>
        </w:rPr>
      </w:pPr>
      <w:r>
        <w:rPr>
          <w:rFonts w:hint="eastAsia" w:ascii="宋体" w:hAnsi="宋体"/>
          <w:sz w:val="28"/>
          <w:highlight w:val="none"/>
          <w:lang w:eastAsia="zh-CN"/>
        </w:rPr>
        <w:t>（1）供方在成交后， 如发生质量问题，供方需在第一时间赶到现场并无偿负责解决。</w:t>
      </w:r>
    </w:p>
    <w:p>
      <w:pPr>
        <w:spacing w:line="500" w:lineRule="exact"/>
        <w:ind w:firstLine="570"/>
        <w:rPr>
          <w:rFonts w:hint="eastAsia" w:ascii="宋体" w:hAnsi="宋体"/>
          <w:sz w:val="28"/>
          <w:highlight w:val="none"/>
          <w:lang w:eastAsia="zh-CN"/>
        </w:rPr>
      </w:pPr>
      <w:r>
        <w:rPr>
          <w:rFonts w:hint="eastAsia" w:ascii="宋体" w:hAnsi="宋体"/>
          <w:sz w:val="28"/>
          <w:highlight w:val="none"/>
          <w:lang w:eastAsia="zh-CN"/>
        </w:rPr>
        <w:t>（2）货送到指定地点，供方标明所供产品规格、数量，现场初验与采购文件不一致一律不予签收；</w:t>
      </w:r>
    </w:p>
    <w:p>
      <w:pPr>
        <w:spacing w:line="500" w:lineRule="exact"/>
        <w:ind w:firstLine="570"/>
        <w:rPr>
          <w:rFonts w:hint="eastAsia" w:ascii="宋体" w:hAnsi="宋体"/>
          <w:b/>
          <w:bCs/>
          <w:sz w:val="28"/>
          <w:highlight w:val="none"/>
          <w:lang w:eastAsia="zh-CN"/>
        </w:rPr>
      </w:pPr>
      <w:r>
        <w:rPr>
          <w:rFonts w:hint="eastAsia" w:ascii="宋体" w:hAnsi="宋体"/>
          <w:b/>
          <w:bCs/>
          <w:sz w:val="28"/>
          <w:highlight w:val="none"/>
          <w:lang w:eastAsia="zh-CN"/>
        </w:rPr>
        <w:t>（3）成交人在成交公示开始时7天内提供符合技术参数要求的样品进行佐证，如提供的样品无法满足采购文件要求，采购人采购方有权终止合同。</w:t>
      </w:r>
    </w:p>
    <w:p>
      <w:pPr>
        <w:spacing w:line="500" w:lineRule="exact"/>
        <w:ind w:firstLine="570"/>
        <w:rPr>
          <w:rFonts w:hint="eastAsia" w:ascii="宋体" w:hAnsi="宋体"/>
          <w:sz w:val="28"/>
          <w:highlight w:val="none"/>
          <w:lang w:eastAsia="zh-CN"/>
        </w:rPr>
      </w:pPr>
      <w:r>
        <w:rPr>
          <w:rFonts w:hint="eastAsia" w:ascii="宋体" w:hAnsi="宋体"/>
          <w:sz w:val="28"/>
          <w:highlight w:val="none"/>
          <w:lang w:eastAsia="zh-CN"/>
        </w:rPr>
        <w:t>（4）在产品保修期内，一旦发生质量问题，供应商保证在接到通知工作日的24小时内到现场进行维修、更换或退货，费用由供应商负责。如供应商在接到通知工作日的24小时内没有答复或处理问题，则视为供应商承认质量问题并承担由此而发生的一切费用。保修期间产品的一切质量问题，更换部件及产品本身质量原因造成的直接经济损失应全部由供应商自行负责。</w:t>
      </w:r>
    </w:p>
    <w:p>
      <w:pPr>
        <w:spacing w:line="500" w:lineRule="exact"/>
        <w:ind w:firstLine="570"/>
        <w:rPr>
          <w:rFonts w:hint="eastAsia" w:ascii="宋体" w:hAnsi="宋体"/>
          <w:b/>
          <w:bCs/>
          <w:sz w:val="28"/>
          <w:highlight w:val="none"/>
          <w:lang w:eastAsia="zh-CN"/>
        </w:rPr>
      </w:pPr>
      <w:r>
        <w:rPr>
          <w:rFonts w:hint="eastAsia" w:ascii="宋体" w:hAnsi="宋体"/>
          <w:b/>
          <w:bCs/>
          <w:sz w:val="28"/>
          <w:highlight w:val="none"/>
          <w:lang w:eastAsia="zh-CN"/>
        </w:rPr>
        <w:t>（5）本项目货物运输过程中供应商需采取安全措施，若发生安全事故，供应商需承担全部责任并赔偿相应损失。货物在运输过程中损坏，成交供应商应免费更换到位。</w:t>
      </w:r>
    </w:p>
    <w:p>
      <w:pPr>
        <w:spacing w:line="500" w:lineRule="exact"/>
        <w:ind w:firstLine="570"/>
        <w:rPr>
          <w:rFonts w:hint="eastAsia" w:ascii="宋体" w:hAnsi="宋体"/>
          <w:b/>
          <w:bCs/>
          <w:sz w:val="28"/>
          <w:highlight w:val="none"/>
          <w:lang w:eastAsia="zh-CN"/>
        </w:rPr>
      </w:pPr>
      <w:r>
        <w:rPr>
          <w:rFonts w:hint="eastAsia" w:ascii="宋体" w:hAnsi="宋体"/>
          <w:b/>
          <w:bCs/>
          <w:sz w:val="28"/>
          <w:highlight w:val="none"/>
          <w:lang w:eastAsia="zh-CN"/>
        </w:rPr>
        <w:t>（6）物品安装供货期间各类安全保障工作由成交供应商自行负责。</w:t>
      </w:r>
    </w:p>
    <w:p>
      <w:pPr>
        <w:spacing w:line="500" w:lineRule="exact"/>
        <w:ind w:firstLine="570"/>
        <w:rPr>
          <w:rFonts w:hint="eastAsia" w:ascii="宋体" w:hAnsi="宋体"/>
          <w:sz w:val="28"/>
          <w:highlight w:val="none"/>
          <w:lang w:eastAsia="zh-CN"/>
        </w:rPr>
      </w:pPr>
      <w:r>
        <w:rPr>
          <w:rFonts w:hint="eastAsia" w:ascii="宋体" w:hAnsi="宋体"/>
          <w:sz w:val="28"/>
          <w:highlight w:val="none"/>
          <w:lang w:eastAsia="zh-CN"/>
        </w:rPr>
        <w:t>（7）成交供应商提供产品必须是全新的、未使用过的原装合格正品，所有产品应配套使用。</w:t>
      </w:r>
    </w:p>
    <w:p>
      <w:pPr>
        <w:spacing w:line="500" w:lineRule="exact"/>
        <w:ind w:firstLine="570"/>
        <w:rPr>
          <w:rFonts w:hint="eastAsia" w:ascii="宋体" w:hAnsi="宋体"/>
          <w:b/>
          <w:bCs/>
          <w:sz w:val="28"/>
          <w:highlight w:val="none"/>
          <w:lang w:eastAsia="zh-CN"/>
        </w:rPr>
      </w:pPr>
      <w:r>
        <w:rPr>
          <w:rFonts w:hint="eastAsia" w:ascii="宋体" w:hAnsi="宋体"/>
          <w:b/>
          <w:bCs/>
          <w:sz w:val="28"/>
          <w:highlight w:val="none"/>
          <w:lang w:eastAsia="zh-CN"/>
        </w:rPr>
        <w:t>（8）质保期满后，乙方须承诺提供终身维修服务，如根据采购人需求提供维修松动螺丝等服务，并保证零配件供应，维修费用按照材料成本收取。</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 xml:space="preserve">2.2 </w:t>
      </w:r>
      <w:r>
        <w:rPr>
          <w:rFonts w:hint="eastAsia" w:ascii="宋体" w:hAnsi="宋体"/>
          <w:sz w:val="28"/>
          <w:highlight w:val="none"/>
        </w:rPr>
        <w:t>验收方式及要求</w:t>
      </w:r>
    </w:p>
    <w:p>
      <w:pPr>
        <w:spacing w:line="480" w:lineRule="exact"/>
        <w:ind w:firstLine="422" w:firstLineChars="150"/>
        <w:outlineLvl w:val="0"/>
        <w:rPr>
          <w:rFonts w:hint="eastAsia" w:ascii="宋体" w:hAnsi="宋体"/>
          <w:b/>
          <w:bCs/>
          <w:sz w:val="28"/>
          <w:highlight w:val="none"/>
          <w:lang w:val="en-US" w:eastAsia="zh-CN"/>
        </w:rPr>
      </w:pPr>
      <w:r>
        <w:rPr>
          <w:rFonts w:hint="eastAsia" w:ascii="宋体" w:hAnsi="宋体"/>
          <w:b/>
          <w:bCs/>
          <w:sz w:val="28"/>
          <w:highlight w:val="none"/>
          <w:lang w:val="en-US" w:eastAsia="zh-CN"/>
        </w:rPr>
        <w:t>（1） 成交单位供货之后，采购方会同监审部门及成交方，按采购文件要求随机抽取货物送检，对其材料品质、力学性能、形状与位置公差、外观、理化性能、甲醛释放量等进行严格检测，检测费用由成交人承担，抽检消耗的办公家具由成交单位补充。抽检数据必须符合国家产品质量相关标准要求及采购文件技术参数要求，如抽检数据不合格，采购人扣除履约金并对成交人进行相关处罚且不予支付货款。</w:t>
      </w:r>
    </w:p>
    <w:p>
      <w:pPr>
        <w:spacing w:line="480" w:lineRule="exact"/>
        <w:ind w:firstLine="422" w:firstLineChars="150"/>
        <w:outlineLvl w:val="0"/>
        <w:rPr>
          <w:rFonts w:hint="eastAsia" w:ascii="宋体" w:hAnsi="宋体"/>
          <w:b/>
          <w:bCs/>
          <w:sz w:val="28"/>
          <w:highlight w:val="none"/>
          <w:lang w:val="en-US" w:eastAsia="zh-CN"/>
        </w:rPr>
      </w:pPr>
      <w:r>
        <w:rPr>
          <w:rFonts w:hint="eastAsia" w:ascii="宋体" w:hAnsi="宋体"/>
          <w:b/>
          <w:bCs/>
          <w:sz w:val="28"/>
          <w:highlight w:val="none"/>
          <w:lang w:val="en-US" w:eastAsia="zh-CN"/>
        </w:rPr>
        <w:t>（2） 若供应商不能通过验收，采购方有权终止合同，所有经济损失由乙方承担。</w:t>
      </w:r>
    </w:p>
    <w:p>
      <w:pPr>
        <w:spacing w:line="480" w:lineRule="exact"/>
        <w:ind w:firstLine="422" w:firstLineChars="150"/>
        <w:outlineLvl w:val="0"/>
        <w:rPr>
          <w:rFonts w:hint="eastAsia" w:ascii="宋体" w:hAnsi="宋体"/>
          <w:b/>
          <w:bCs/>
          <w:sz w:val="28"/>
          <w:highlight w:val="none"/>
          <w:lang w:val="en-US" w:eastAsia="zh-CN"/>
        </w:rPr>
      </w:pPr>
      <w:r>
        <w:rPr>
          <w:rFonts w:hint="eastAsia" w:ascii="宋体" w:hAnsi="宋体"/>
          <w:b/>
          <w:bCs/>
          <w:sz w:val="28"/>
          <w:highlight w:val="none"/>
          <w:lang w:val="en-US" w:eastAsia="zh-CN"/>
        </w:rPr>
        <w:t>（3） 货物运至现场或安装完毕后，采购方组织人员按相关配置、质量及技术要求对采购办公家具进行初验，并结合权威检验机构检验检测报告出具综合验收报告。</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2.3</w:t>
      </w:r>
      <w:r>
        <w:rPr>
          <w:rFonts w:hint="eastAsia" w:ascii="宋体" w:hAnsi="宋体"/>
          <w:sz w:val="28"/>
          <w:highlight w:val="none"/>
        </w:rPr>
        <w:t>交货（服务）地点：供货方根据采购方要求供货到采购人指定地点，由供应商承担完成落地交付前相关费用及风险。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2.4</w:t>
      </w:r>
      <w:r>
        <w:rPr>
          <w:rFonts w:hint="eastAsia" w:ascii="宋体" w:hAnsi="宋体"/>
          <w:sz w:val="28"/>
          <w:highlight w:val="none"/>
        </w:rPr>
        <w:t>标的物所有权的转移及风险责任：</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供应商承担落地交付前（不限于运输、装卸货）安全等全部风险及责任（含在途风险）。</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标的物所有权的转移：标的物运至现场，经初验合格，双方交接，并在送货单上签字确认。</w:t>
      </w:r>
    </w:p>
    <w:p>
      <w:pPr>
        <w:spacing w:line="480" w:lineRule="exact"/>
        <w:ind w:firstLine="420" w:firstLineChars="150"/>
        <w:outlineLvl w:val="0"/>
        <w:rPr>
          <w:rFonts w:hint="eastAsia" w:ascii="宋体" w:hAnsi="宋体"/>
          <w:b/>
          <w:bCs/>
          <w:sz w:val="28"/>
          <w:highlight w:val="none"/>
        </w:rPr>
      </w:pPr>
      <w:r>
        <w:rPr>
          <w:rFonts w:ascii="宋体" w:hAnsi="宋体"/>
          <w:sz w:val="28"/>
          <w:highlight w:val="none"/>
        </w:rPr>
        <w:t>2.5</w:t>
      </w:r>
      <w:r>
        <w:rPr>
          <w:rFonts w:hint="eastAsia" w:ascii="宋体" w:hAnsi="宋体"/>
          <w:sz w:val="28"/>
          <w:highlight w:val="none"/>
        </w:rPr>
        <w:t>质保要求：</w:t>
      </w:r>
      <w:r>
        <w:rPr>
          <w:rFonts w:hint="eastAsia" w:ascii="宋体" w:hAnsi="宋体"/>
          <w:b/>
          <w:bCs/>
          <w:sz w:val="28"/>
          <w:highlight w:val="none"/>
        </w:rPr>
        <w:t>自落地交付并验收合格之日起两年。</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2.6</w:t>
      </w:r>
      <w:r>
        <w:rPr>
          <w:rFonts w:hint="eastAsia" w:ascii="宋体" w:hAnsi="宋体"/>
          <w:sz w:val="28"/>
          <w:highlight w:val="none"/>
        </w:rPr>
        <w:t>其他要求：</w:t>
      </w:r>
      <w:r>
        <w:rPr>
          <w:rFonts w:hint="eastAsia" w:ascii="宋体" w:hAnsi="宋体"/>
          <w:b/>
          <w:bCs/>
          <w:sz w:val="28"/>
          <w:highlight w:val="none"/>
        </w:rPr>
        <w:t>报价人报价时须考虑现场抽样送检，抽样损耗部分成交人须进行补齐，确保最终实际安装数量为320套。</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2.7</w:t>
      </w:r>
      <w:r>
        <w:rPr>
          <w:rFonts w:hint="eastAsia" w:ascii="宋体" w:hAnsi="宋体"/>
          <w:sz w:val="28"/>
          <w:highlight w:val="none"/>
        </w:rPr>
        <w:t>交货时间：根据采购人要求供货，供应商必须在采购人发出供货通知后在指定时间内将货物运至指定地点。成交供应商应能随时确保采购人的需求，因供应商原因缺货而给采购人造成损失，由成交供应商负责无条件赔偿并承担相应的违约责任，且采购人有权终止合同并扣除履约保证金。</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成交供应商在接到采购人通知后30天内运输至采购人指定地点并安装完毕。</w:t>
      </w:r>
    </w:p>
    <w:p>
      <w:pPr>
        <w:numPr>
          <w:ilvl w:val="0"/>
          <w:numId w:val="1"/>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p>
    <w:p>
      <w:pPr>
        <w:numPr>
          <w:ilvl w:val="0"/>
          <w:numId w:val="0"/>
        </w:numPr>
        <w:spacing w:line="480" w:lineRule="exact"/>
        <w:outlineLvl w:val="0"/>
        <w:rPr>
          <w:rFonts w:hint="eastAsia" w:ascii="宋体" w:hAnsi="宋体" w:cs="宋体"/>
          <w:color w:val="333333"/>
          <w:spacing w:val="7"/>
          <w:kern w:val="0"/>
          <w:sz w:val="24"/>
          <w:szCs w:val="24"/>
          <w:highlight w:val="none"/>
        </w:rPr>
      </w:pPr>
      <w:r>
        <w:rPr>
          <w:rFonts w:hint="eastAsia" w:ascii="宋体" w:hAnsi="宋体"/>
          <w:sz w:val="28"/>
          <w:highlight w:val="none"/>
          <w:lang w:val="en-US" w:eastAsia="zh-CN"/>
        </w:rPr>
        <w:t xml:space="preserve">   </w:t>
      </w: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126.66</w:t>
      </w:r>
      <w:r>
        <w:rPr>
          <w:rFonts w:hint="eastAsia" w:ascii="宋体" w:hAnsi="宋体" w:cs="宋体"/>
          <w:color w:val="333333"/>
          <w:spacing w:val="7"/>
          <w:kern w:val="0"/>
          <w:sz w:val="24"/>
          <w:szCs w:val="24"/>
          <w:highlight w:val="none"/>
        </w:rPr>
        <w:t>万元。</w:t>
      </w:r>
    </w:p>
    <w:tbl>
      <w:tblPr>
        <w:tblStyle w:val="29"/>
        <w:tblW w:w="80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1564"/>
        <w:gridCol w:w="900"/>
        <w:gridCol w:w="1100"/>
        <w:gridCol w:w="24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center"/>
          </w:tcPr>
          <w:p>
            <w:pPr>
              <w:pStyle w:val="32"/>
              <w:spacing w:before="149" w:line="217" w:lineRule="auto"/>
              <w:ind w:left="33"/>
              <w:jc w:val="center"/>
              <w:rPr>
                <w:sz w:val="22"/>
                <w:szCs w:val="22"/>
                <w:highlight w:val="none"/>
              </w:rPr>
            </w:pPr>
            <w:r>
              <w:rPr>
                <w:sz w:val="22"/>
                <w:szCs w:val="22"/>
                <w:highlight w:val="none"/>
              </w:rPr>
              <w:t>序号</w:t>
            </w:r>
          </w:p>
        </w:tc>
        <w:tc>
          <w:tcPr>
            <w:tcW w:w="1437" w:type="dxa"/>
            <w:noWrap w:val="0"/>
            <w:vAlign w:val="center"/>
          </w:tcPr>
          <w:p>
            <w:pPr>
              <w:pStyle w:val="32"/>
              <w:spacing w:before="168" w:line="223" w:lineRule="auto"/>
              <w:jc w:val="center"/>
              <w:rPr>
                <w:sz w:val="22"/>
                <w:szCs w:val="22"/>
                <w:highlight w:val="none"/>
              </w:rPr>
            </w:pPr>
            <w:r>
              <w:rPr>
                <w:spacing w:val="19"/>
                <w:sz w:val="22"/>
                <w:szCs w:val="22"/>
                <w:highlight w:val="none"/>
              </w:rPr>
              <w:t>品名</w:t>
            </w:r>
          </w:p>
        </w:tc>
        <w:tc>
          <w:tcPr>
            <w:tcW w:w="1564" w:type="dxa"/>
            <w:noWrap w:val="0"/>
            <w:vAlign w:val="center"/>
          </w:tcPr>
          <w:p>
            <w:pPr>
              <w:pStyle w:val="32"/>
              <w:spacing w:before="164" w:line="219" w:lineRule="auto"/>
              <w:ind w:left="302"/>
              <w:jc w:val="center"/>
              <w:rPr>
                <w:sz w:val="22"/>
                <w:szCs w:val="22"/>
                <w:highlight w:val="none"/>
              </w:rPr>
            </w:pPr>
            <w:r>
              <w:rPr>
                <w:spacing w:val="12"/>
                <w:sz w:val="22"/>
                <w:szCs w:val="22"/>
                <w:highlight w:val="none"/>
              </w:rPr>
              <w:t>规格</w:t>
            </w:r>
          </w:p>
        </w:tc>
        <w:tc>
          <w:tcPr>
            <w:tcW w:w="900" w:type="dxa"/>
            <w:noWrap w:val="0"/>
            <w:vAlign w:val="center"/>
          </w:tcPr>
          <w:p>
            <w:pPr>
              <w:pStyle w:val="32"/>
              <w:spacing w:before="164" w:line="220" w:lineRule="auto"/>
              <w:ind w:left="176"/>
              <w:jc w:val="center"/>
              <w:rPr>
                <w:sz w:val="22"/>
                <w:szCs w:val="22"/>
                <w:highlight w:val="none"/>
              </w:rPr>
            </w:pPr>
            <w:r>
              <w:rPr>
                <w:spacing w:val="-3"/>
                <w:sz w:val="22"/>
                <w:szCs w:val="22"/>
                <w:highlight w:val="none"/>
              </w:rPr>
              <w:t>单位</w:t>
            </w:r>
          </w:p>
        </w:tc>
        <w:tc>
          <w:tcPr>
            <w:tcW w:w="1100" w:type="dxa"/>
            <w:noWrap w:val="0"/>
            <w:vAlign w:val="center"/>
          </w:tcPr>
          <w:p>
            <w:pPr>
              <w:pStyle w:val="32"/>
              <w:spacing w:before="164" w:line="219" w:lineRule="auto"/>
              <w:jc w:val="center"/>
              <w:rPr>
                <w:sz w:val="22"/>
                <w:szCs w:val="22"/>
                <w:highlight w:val="none"/>
              </w:rPr>
            </w:pPr>
            <w:r>
              <w:rPr>
                <w:spacing w:val="-3"/>
                <w:sz w:val="22"/>
                <w:szCs w:val="22"/>
                <w:highlight w:val="none"/>
              </w:rPr>
              <w:t>数量</w:t>
            </w:r>
          </w:p>
        </w:tc>
        <w:tc>
          <w:tcPr>
            <w:tcW w:w="2495" w:type="dxa"/>
            <w:noWrap w:val="0"/>
            <w:vAlign w:val="center"/>
          </w:tcPr>
          <w:p>
            <w:pPr>
              <w:pStyle w:val="32"/>
              <w:spacing w:before="165" w:line="221" w:lineRule="auto"/>
              <w:ind w:left="439"/>
              <w:jc w:val="center"/>
              <w:rPr>
                <w:sz w:val="22"/>
                <w:szCs w:val="22"/>
                <w:highlight w:val="none"/>
              </w:rPr>
            </w:pPr>
            <w:r>
              <w:rPr>
                <w:spacing w:val="5"/>
                <w:sz w:val="22"/>
                <w:szCs w:val="22"/>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center"/>
          </w:tcPr>
          <w:p>
            <w:pPr>
              <w:spacing w:line="241" w:lineRule="auto"/>
              <w:jc w:val="center"/>
              <w:rPr>
                <w:rFonts w:ascii="Arial"/>
                <w:sz w:val="21"/>
                <w:highlight w:val="none"/>
              </w:rPr>
            </w:pPr>
          </w:p>
          <w:p>
            <w:pPr>
              <w:pStyle w:val="32"/>
              <w:spacing w:before="72" w:line="184" w:lineRule="auto"/>
              <w:ind w:left="195"/>
              <w:jc w:val="center"/>
              <w:rPr>
                <w:sz w:val="22"/>
                <w:szCs w:val="22"/>
                <w:highlight w:val="none"/>
              </w:rPr>
            </w:pPr>
            <w:r>
              <w:rPr>
                <w:sz w:val="22"/>
                <w:szCs w:val="22"/>
                <w:highlight w:val="none"/>
              </w:rPr>
              <w:t>1</w:t>
            </w:r>
          </w:p>
        </w:tc>
        <w:tc>
          <w:tcPr>
            <w:tcW w:w="1437" w:type="dxa"/>
            <w:noWrap w:val="0"/>
            <w:vAlign w:val="center"/>
          </w:tcPr>
          <w:p>
            <w:pPr>
              <w:pStyle w:val="32"/>
              <w:spacing w:before="109"/>
              <w:ind w:left="630" w:right="196" w:hanging="440"/>
              <w:jc w:val="center"/>
              <w:rPr>
                <w:rFonts w:hint="default" w:eastAsia="宋体"/>
                <w:sz w:val="22"/>
                <w:szCs w:val="22"/>
                <w:highlight w:val="none"/>
                <w:lang w:val="en-US" w:eastAsia="zh-CN"/>
              </w:rPr>
            </w:pPr>
            <w:r>
              <w:rPr>
                <w:rFonts w:hint="eastAsia"/>
                <w:sz w:val="22"/>
                <w:szCs w:val="22"/>
                <w:highlight w:val="none"/>
                <w:lang w:val="en-US" w:eastAsia="zh-CN"/>
              </w:rPr>
              <w:t>床具</w:t>
            </w:r>
          </w:p>
        </w:tc>
        <w:tc>
          <w:tcPr>
            <w:tcW w:w="1564" w:type="dxa"/>
            <w:noWrap w:val="0"/>
            <w:vAlign w:val="center"/>
          </w:tcPr>
          <w:p>
            <w:pPr>
              <w:keepNext w:val="0"/>
              <w:keepLines w:val="0"/>
              <w:widowControl/>
              <w:suppressLineNumbers w:val="0"/>
              <w:jc w:val="center"/>
              <w:textAlignment w:val="center"/>
              <w:rPr>
                <w:rFonts w:hint="default" w:eastAsia="宋体"/>
                <w:sz w:val="22"/>
                <w:szCs w:val="22"/>
                <w:highlight w:val="none"/>
                <w:lang w:val="en-US" w:eastAsia="zh-CN"/>
              </w:rPr>
            </w:pPr>
            <w:r>
              <w:rPr>
                <w:rFonts w:hint="eastAsia" w:eastAsia="宋体"/>
                <w:sz w:val="22"/>
                <w:szCs w:val="22"/>
                <w:highlight w:val="none"/>
                <w:lang w:val="en-US" w:eastAsia="zh-CN"/>
              </w:rPr>
              <w:t>详见附件</w:t>
            </w:r>
          </w:p>
        </w:tc>
        <w:tc>
          <w:tcPr>
            <w:tcW w:w="900" w:type="dxa"/>
            <w:noWrap w:val="0"/>
            <w:vAlign w:val="center"/>
          </w:tcPr>
          <w:p>
            <w:pPr>
              <w:pStyle w:val="32"/>
              <w:spacing w:before="259" w:line="220" w:lineRule="auto"/>
              <w:ind w:left="286"/>
              <w:jc w:val="center"/>
              <w:rPr>
                <w:rFonts w:hint="eastAsia" w:eastAsia="宋体"/>
                <w:sz w:val="22"/>
                <w:szCs w:val="22"/>
                <w:highlight w:val="none"/>
                <w:lang w:eastAsia="zh-CN"/>
              </w:rPr>
            </w:pPr>
            <w:r>
              <w:rPr>
                <w:rFonts w:hint="eastAsia"/>
                <w:sz w:val="22"/>
                <w:szCs w:val="22"/>
                <w:highlight w:val="none"/>
                <w:lang w:val="en-US" w:eastAsia="zh-CN"/>
              </w:rPr>
              <w:t>组</w:t>
            </w:r>
          </w:p>
        </w:tc>
        <w:tc>
          <w:tcPr>
            <w:tcW w:w="1100" w:type="dxa"/>
            <w:noWrap w:val="0"/>
            <w:vAlign w:val="center"/>
          </w:tcPr>
          <w:p>
            <w:pPr>
              <w:keepNext w:val="0"/>
              <w:keepLines w:val="0"/>
              <w:widowControl/>
              <w:suppressLineNumbers w:val="0"/>
              <w:jc w:val="center"/>
              <w:textAlignment w:val="center"/>
              <w:rPr>
                <w:rFonts w:hint="default" w:eastAsia="宋体"/>
                <w:sz w:val="22"/>
                <w:szCs w:val="22"/>
                <w:highlight w:val="none"/>
                <w:lang w:val="en-US" w:eastAsia="zh-CN"/>
              </w:rPr>
            </w:pPr>
            <w:r>
              <w:rPr>
                <w:rFonts w:hint="eastAsia" w:eastAsia="宋体"/>
                <w:sz w:val="22"/>
                <w:szCs w:val="22"/>
                <w:highlight w:val="none"/>
                <w:lang w:val="en-US" w:eastAsia="zh-CN"/>
              </w:rPr>
              <w:t>320</w:t>
            </w:r>
          </w:p>
        </w:tc>
        <w:tc>
          <w:tcPr>
            <w:tcW w:w="2495" w:type="dxa"/>
            <w:noWrap w:val="0"/>
            <w:vAlign w:val="center"/>
          </w:tcPr>
          <w:p>
            <w:pPr>
              <w:pStyle w:val="32"/>
              <w:spacing w:before="148" w:line="233" w:lineRule="auto"/>
              <w:ind w:left="438" w:right="65" w:hanging="330"/>
              <w:jc w:val="center"/>
              <w:rPr>
                <w:sz w:val="22"/>
                <w:szCs w:val="22"/>
                <w:highlight w:val="none"/>
              </w:rPr>
            </w:pPr>
            <w:r>
              <w:rPr>
                <w:rFonts w:hint="eastAsia" w:cs="宋体"/>
                <w:i w:val="0"/>
                <w:iCs w:val="0"/>
                <w:color w:val="000000"/>
                <w:kern w:val="0"/>
                <w:sz w:val="22"/>
                <w:szCs w:val="22"/>
                <w:u w:val="none"/>
                <w:lang w:val="en-US" w:eastAsia="zh-CN" w:bidi="ar"/>
              </w:rPr>
              <w:t>至少</w:t>
            </w:r>
            <w:r>
              <w:rPr>
                <w:rFonts w:hint="eastAsia" w:ascii="宋体" w:hAnsi="宋体" w:eastAsia="宋体" w:cs="宋体"/>
                <w:i w:val="0"/>
                <w:iCs w:val="0"/>
                <w:color w:val="000000"/>
                <w:kern w:val="0"/>
                <w:sz w:val="22"/>
                <w:szCs w:val="22"/>
                <w:u w:val="none"/>
                <w:lang w:val="en-US" w:eastAsia="zh-CN" w:bidi="ar"/>
              </w:rPr>
              <w:t>含括2套上下床、1组楼梯柜、6个床头护栏、2个床护栏(含卡塑)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jc w:val="center"/>
        </w:trPr>
        <w:tc>
          <w:tcPr>
            <w:tcW w:w="524" w:type="dxa"/>
            <w:noWrap w:val="0"/>
            <w:vAlign w:val="center"/>
          </w:tcPr>
          <w:p>
            <w:pPr>
              <w:pStyle w:val="32"/>
              <w:spacing w:before="72" w:line="183" w:lineRule="auto"/>
              <w:ind w:left="195"/>
              <w:jc w:val="center"/>
              <w:rPr>
                <w:rFonts w:hint="eastAsia" w:eastAsia="宋体"/>
                <w:sz w:val="22"/>
                <w:szCs w:val="22"/>
                <w:highlight w:val="none"/>
                <w:lang w:val="en-US" w:eastAsia="zh-CN"/>
              </w:rPr>
            </w:pPr>
            <w:r>
              <w:rPr>
                <w:rFonts w:hint="eastAsia"/>
                <w:sz w:val="22"/>
                <w:szCs w:val="22"/>
                <w:highlight w:val="none"/>
                <w:lang w:val="en-US" w:eastAsia="zh-CN"/>
              </w:rPr>
              <w:t>2</w:t>
            </w:r>
          </w:p>
        </w:tc>
        <w:tc>
          <w:tcPr>
            <w:tcW w:w="1437" w:type="dxa"/>
            <w:noWrap w:val="0"/>
            <w:vAlign w:val="center"/>
          </w:tcPr>
          <w:p>
            <w:pPr>
              <w:spacing w:before="123" w:line="244" w:lineRule="auto"/>
              <w:ind w:left="630" w:right="214" w:hanging="440"/>
              <w:jc w:val="center"/>
              <w:rPr>
                <w:rFonts w:hint="eastAsia"/>
                <w:sz w:val="22"/>
                <w:szCs w:val="22"/>
                <w:highlight w:val="none"/>
                <w:lang w:val="en-US" w:eastAsia="zh-CN"/>
              </w:rPr>
            </w:pPr>
            <w:r>
              <w:rPr>
                <w:rFonts w:hint="eastAsia"/>
                <w:sz w:val="22"/>
                <w:szCs w:val="22"/>
                <w:highlight w:val="none"/>
                <w:lang w:val="en-US" w:eastAsia="zh-CN"/>
              </w:rPr>
              <w:t>四人铁皮衣柜</w:t>
            </w:r>
          </w:p>
        </w:tc>
        <w:tc>
          <w:tcPr>
            <w:tcW w:w="1564" w:type="dxa"/>
            <w:noWrap w:val="0"/>
            <w:vAlign w:val="center"/>
          </w:tcPr>
          <w:p>
            <w:pPr>
              <w:pStyle w:val="32"/>
              <w:spacing w:before="72" w:line="183" w:lineRule="auto"/>
              <w:jc w:val="center"/>
              <w:rPr>
                <w:rFonts w:hint="default"/>
                <w:sz w:val="22"/>
                <w:szCs w:val="22"/>
                <w:highlight w:val="none"/>
                <w:lang w:val="en-US" w:eastAsia="zh-CN"/>
              </w:rPr>
            </w:pPr>
            <w:r>
              <w:rPr>
                <w:rFonts w:hint="eastAsia"/>
                <w:sz w:val="22"/>
                <w:szCs w:val="22"/>
                <w:highlight w:val="none"/>
                <w:lang w:val="en-US" w:eastAsia="zh-CN"/>
              </w:rPr>
              <w:t>详见附件</w:t>
            </w:r>
          </w:p>
        </w:tc>
        <w:tc>
          <w:tcPr>
            <w:tcW w:w="900" w:type="dxa"/>
            <w:noWrap w:val="0"/>
            <w:vAlign w:val="center"/>
          </w:tcPr>
          <w:p>
            <w:pPr>
              <w:spacing w:before="272" w:line="220" w:lineRule="auto"/>
              <w:ind w:left="286"/>
              <w:jc w:val="center"/>
              <w:rPr>
                <w:rFonts w:hint="default"/>
                <w:sz w:val="22"/>
                <w:szCs w:val="22"/>
                <w:highlight w:val="none"/>
                <w:lang w:val="en-US" w:eastAsia="zh-CN"/>
              </w:rPr>
            </w:pPr>
            <w:r>
              <w:rPr>
                <w:rFonts w:hint="eastAsia"/>
                <w:sz w:val="22"/>
                <w:szCs w:val="22"/>
                <w:highlight w:val="none"/>
                <w:lang w:val="en-US" w:eastAsia="zh-CN"/>
              </w:rPr>
              <w:t>组</w:t>
            </w:r>
          </w:p>
        </w:tc>
        <w:tc>
          <w:tcPr>
            <w:tcW w:w="1100" w:type="dxa"/>
            <w:noWrap w:val="0"/>
            <w:vAlign w:val="center"/>
          </w:tcPr>
          <w:p>
            <w:pPr>
              <w:pStyle w:val="32"/>
              <w:spacing w:before="72" w:line="183" w:lineRule="auto"/>
              <w:jc w:val="center"/>
              <w:rPr>
                <w:rFonts w:hint="default"/>
                <w:sz w:val="22"/>
                <w:szCs w:val="22"/>
                <w:highlight w:val="none"/>
                <w:lang w:val="en-US" w:eastAsia="zh-CN"/>
              </w:rPr>
            </w:pPr>
            <w:r>
              <w:rPr>
                <w:rFonts w:hint="eastAsia"/>
                <w:sz w:val="22"/>
                <w:szCs w:val="22"/>
                <w:highlight w:val="none"/>
                <w:lang w:val="en-US" w:eastAsia="zh-CN"/>
              </w:rPr>
              <w:t>320</w:t>
            </w:r>
          </w:p>
        </w:tc>
        <w:tc>
          <w:tcPr>
            <w:tcW w:w="2495" w:type="dxa"/>
            <w:noWrap w:val="0"/>
            <w:vAlign w:val="center"/>
          </w:tcPr>
          <w:p>
            <w:pPr>
              <w:pStyle w:val="32"/>
              <w:spacing w:before="163" w:line="228" w:lineRule="auto"/>
              <w:ind w:left="438" w:right="65" w:hanging="330"/>
              <w:jc w:val="center"/>
              <w:rPr>
                <w:sz w:val="22"/>
                <w:szCs w:val="22"/>
                <w:highlight w:val="none"/>
              </w:rPr>
            </w:pPr>
          </w:p>
        </w:tc>
      </w:tr>
    </w:tbl>
    <w:p>
      <w:pPr>
        <w:spacing w:line="500" w:lineRule="exact"/>
        <w:ind w:firstLine="560" w:firstLineChars="200"/>
        <w:rPr>
          <w:rFonts w:hint="default" w:ascii="宋体" w:hAnsi="宋体" w:eastAsia="宋体"/>
          <w:sz w:val="28"/>
          <w:highlight w:val="none"/>
          <w:lang w:val="en-US" w:eastAsia="zh-CN"/>
        </w:rPr>
      </w:pPr>
      <w:r>
        <w:rPr>
          <w:rFonts w:hint="eastAsia" w:ascii="宋体" w:hAnsi="宋体"/>
          <w:sz w:val="28"/>
          <w:highlight w:val="none"/>
          <w:lang w:val="en-US" w:eastAsia="zh-CN"/>
        </w:rPr>
        <w:t>以上为简略参数，具体详见附件</w:t>
      </w:r>
    </w:p>
    <w:p>
      <w:pPr>
        <w:spacing w:line="500" w:lineRule="exact"/>
        <w:ind w:firstLine="560" w:firstLineChars="200"/>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pPr>
        <w:spacing w:line="500" w:lineRule="exact"/>
        <w:ind w:firstLine="570"/>
        <w:rPr>
          <w:rFonts w:hint="eastAsia" w:ascii="宋体" w:hAnsi="宋体"/>
          <w:b/>
          <w:sz w:val="28"/>
          <w:highlight w:val="none"/>
        </w:rPr>
      </w:pPr>
      <w:r>
        <w:rPr>
          <w:rFonts w:hint="eastAsia" w:ascii="宋体" w:hAnsi="宋体"/>
          <w:b/>
          <w:sz w:val="28"/>
          <w:highlight w:val="none"/>
          <w:lang w:val="en-US" w:eastAsia="zh-CN"/>
        </w:rPr>
        <w:t>一次性供货，落地交付至指定地点且完成安装初验，同时成交人提供验收报告后支付至货款的95%，本次质保金为成交价的5%，质保期满后无息退还。款项由采购单位按相关财务支付规定办理支付手续</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w:t>
      </w:r>
      <w:r>
        <w:rPr>
          <w:rFonts w:hint="eastAsia" w:ascii="宋体" w:hAnsi="宋体"/>
          <w:sz w:val="28"/>
          <w:highlight w:val="none"/>
          <w:lang w:val="en-US" w:eastAsia="zh-CN"/>
        </w:rPr>
        <w:t>比选</w:t>
      </w:r>
      <w:r>
        <w:rPr>
          <w:rFonts w:hint="eastAsia" w:ascii="宋体" w:hAnsi="宋体"/>
          <w:sz w:val="28"/>
          <w:highlight w:val="none"/>
        </w:rPr>
        <w:t>项目采用</w:t>
      </w:r>
      <w:r>
        <w:rPr>
          <w:rFonts w:hint="eastAsia" w:ascii="宋体" w:hAnsi="宋体"/>
          <w:b/>
          <w:bCs/>
          <w:sz w:val="28"/>
          <w:highlight w:val="none"/>
          <w:u w:val="single"/>
        </w:rPr>
        <w:t>合理低价法</w:t>
      </w:r>
      <w:r>
        <w:rPr>
          <w:rFonts w:hint="eastAsia" w:ascii="宋体" w:hAnsi="宋体"/>
          <w:sz w:val="28"/>
          <w:highlight w:val="none"/>
        </w:rPr>
        <w:t>方式，在全部满足采购文件实质性要求前提下，潜在供应商应完全响应采购文件要求，</w:t>
      </w:r>
      <w:r>
        <w:rPr>
          <w:rFonts w:hint="eastAsia" w:ascii="宋体" w:hAnsi="宋体"/>
          <w:b/>
          <w:bCs/>
          <w:sz w:val="28"/>
          <w:highlight w:val="none"/>
        </w:rPr>
        <w:t>报价文件中有效评定总价最低的报价人作为本项目的成交供应商。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3</w:t>
      </w:r>
      <w:r>
        <w:rPr>
          <w:rFonts w:hint="eastAsia" w:ascii="宋体" w:hAnsi="宋体"/>
          <w:b/>
          <w:bCs/>
          <w:sz w:val="28"/>
          <w:highlight w:val="none"/>
        </w:rPr>
        <w:t>）本项目报价函为最终报价。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lang w:val="en-US" w:eastAsia="zh-CN"/>
        </w:rPr>
        <w:t>4</w:t>
      </w:r>
      <w:r>
        <w:rPr>
          <w:rFonts w:hint="eastAsia" w:ascii="宋体" w:hAnsi="宋体"/>
          <w:b/>
          <w:bCs/>
          <w:sz w:val="28"/>
          <w:highlight w:val="none"/>
        </w:rPr>
        <w:t>）本项目相关评审费用由成交供应商支付。</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履约金额为成交价的</w:t>
      </w:r>
      <w:r>
        <w:rPr>
          <w:rFonts w:hint="eastAsia" w:ascii="宋体" w:hAnsi="宋体"/>
          <w:b/>
          <w:sz w:val="28"/>
          <w:highlight w:val="none"/>
          <w:lang w:val="en-US" w:eastAsia="zh-CN"/>
        </w:rPr>
        <w:t>5</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hint="eastAsia" w:ascii="宋体" w:hAnsi="宋体"/>
          <w:b/>
          <w:sz w:val="28"/>
          <w:highlight w:val="none"/>
          <w:u w:val="single"/>
          <w:lang w:val="en-US" w:eastAsia="zh-CN"/>
        </w:rPr>
        <w:t>且验收合格</w:t>
      </w:r>
      <w:r>
        <w:rPr>
          <w:rFonts w:ascii="宋体" w:hAnsi="宋体"/>
          <w:b/>
          <w:sz w:val="28"/>
          <w:highlight w:val="none"/>
        </w:rPr>
        <w:t>后</w:t>
      </w:r>
      <w:r>
        <w:rPr>
          <w:rFonts w:hint="eastAsia" w:ascii="宋体" w:hAnsi="宋体"/>
          <w:b/>
          <w:sz w:val="28"/>
          <w:highlight w:val="none"/>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06</w:t>
      </w:r>
      <w:r>
        <w:rPr>
          <w:rFonts w:hint="eastAsia" w:ascii="宋体" w:hAnsi="宋体"/>
          <w:sz w:val="28"/>
          <w:highlight w:val="none"/>
        </w:rPr>
        <w:t>月</w:t>
      </w:r>
      <w:r>
        <w:rPr>
          <w:rFonts w:hint="eastAsia" w:ascii="宋体" w:hAnsi="宋体"/>
          <w:sz w:val="28"/>
          <w:highlight w:val="none"/>
          <w:lang w:val="en-US" w:eastAsia="zh-CN"/>
        </w:rPr>
        <w:t>28</w:t>
      </w:r>
      <w:r>
        <w:rPr>
          <w:rFonts w:hint="eastAsia" w:ascii="宋体" w:hAnsi="宋体"/>
          <w:sz w:val="28"/>
          <w:highlight w:val="none"/>
        </w:rPr>
        <w:t>日</w:t>
      </w:r>
      <w:r>
        <w:rPr>
          <w:rFonts w:hint="eastAsia" w:ascii="宋体" w:hAnsi="宋体"/>
          <w:sz w:val="28"/>
          <w:highlight w:val="none"/>
          <w:lang w:val="en-US" w:eastAsia="zh-CN"/>
        </w:rPr>
        <w:t>14</w:t>
      </w:r>
      <w:r>
        <w:rPr>
          <w:rFonts w:hint="eastAsia" w:ascii="宋体" w:hAnsi="宋体"/>
          <w:sz w:val="28"/>
          <w:highlight w:val="none"/>
        </w:rPr>
        <w:t>:</w:t>
      </w:r>
      <w:r>
        <w:rPr>
          <w:rFonts w:hint="eastAsia" w:ascii="宋体" w:hAnsi="宋体"/>
          <w:sz w:val="28"/>
          <w:highlight w:val="none"/>
          <w:lang w:val="en-US" w:eastAsia="zh-CN"/>
        </w:rPr>
        <w:t>3</w:t>
      </w:r>
      <w:r>
        <w:rPr>
          <w:rFonts w:hint="eastAsia" w:ascii="宋体" w:hAnsi="宋体"/>
          <w:sz w:val="28"/>
          <w:highlight w:val="none"/>
        </w:rPr>
        <w:t>0。</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w:t>
      </w:r>
      <w:r>
        <w:rPr>
          <w:rFonts w:hint="eastAsia" w:ascii="宋体" w:hAnsi="宋体"/>
          <w:sz w:val="28"/>
          <w:highlight w:val="none"/>
          <w:lang w:eastAsia="zh-CN"/>
        </w:rPr>
        <w:t>（</w:t>
      </w:r>
      <w:r>
        <w:rPr>
          <w:rFonts w:hint="eastAsia" w:ascii="宋体" w:hAnsi="宋体"/>
          <w:sz w:val="28"/>
          <w:highlight w:val="none"/>
          <w:lang w:val="en-US" w:eastAsia="zh-CN"/>
        </w:rPr>
        <w:t>203</w:t>
      </w:r>
      <w:r>
        <w:rPr>
          <w:rFonts w:hint="eastAsia" w:ascii="宋体" w:hAnsi="宋体"/>
          <w:sz w:val="28"/>
          <w:highlight w:val="none"/>
          <w:lang w:eastAsia="zh-CN"/>
        </w:rPr>
        <w:t>）</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宿舍部分家具</w:t>
      </w:r>
      <w:r>
        <w:rPr>
          <w:rFonts w:hint="eastAsia" w:ascii="宋体" w:hAnsi="宋体"/>
          <w:sz w:val="32"/>
          <w:szCs w:val="32"/>
          <w:highlight w:val="none"/>
          <w:u w:val="single"/>
        </w:rPr>
        <w:t>采购</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 xml:space="preserve"> 宿舍部分家具</w:t>
      </w:r>
      <w:r>
        <w:rPr>
          <w:rFonts w:hint="eastAsia" w:ascii="宋体" w:hAnsi="宋体"/>
          <w:sz w:val="28"/>
          <w:highlight w:val="none"/>
          <w:u w:val="single"/>
          <w:lang w:val="en-US" w:eastAsia="zh-CN"/>
        </w:rPr>
        <w:t>采购</w:t>
      </w:r>
      <w:r>
        <w:rPr>
          <w:rFonts w:hint="eastAsia" w:ascii="宋体" w:hAnsi="宋体"/>
          <w:sz w:val="28"/>
          <w:highlight w:val="none"/>
          <w:u w:val="single"/>
        </w:rPr>
        <w:t xml:space="preserve"> </w:t>
      </w:r>
      <w:r>
        <w:rPr>
          <w:rFonts w:hint="eastAsia" w:ascii="宋体" w:hAnsi="宋体"/>
          <w:sz w:val="28"/>
          <w:highlight w:val="none"/>
        </w:rPr>
        <w:t>项目。代理人所签署的一切文件和处理与之有关的一切事务，我均予承认。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提供本采购文件中载明的标的物及其所有服务，全费用总价为人民币(大写)</w:t>
      </w:r>
      <w:r>
        <w:rPr>
          <w:rFonts w:hint="eastAsia" w:ascii="宋体" w:hAnsi="宋体"/>
          <w:sz w:val="28"/>
          <w:highlight w:val="none"/>
          <w:u w:val="single"/>
        </w:rPr>
        <w:t xml:space="preserve">          </w:t>
      </w:r>
      <w:r>
        <w:rPr>
          <w:rFonts w:hint="eastAsia" w:ascii="宋体" w:hAnsi="宋体"/>
          <w:sz w:val="28"/>
          <w:highlight w:val="none"/>
        </w:rPr>
        <w:t>(小写)</w:t>
      </w:r>
      <w:r>
        <w:rPr>
          <w:rFonts w:hint="eastAsia" w:ascii="宋体" w:hAnsi="宋体"/>
          <w:sz w:val="28"/>
          <w:highlight w:val="none"/>
          <w:u w:val="single"/>
        </w:rPr>
        <w:t xml:space="preserve">       </w:t>
      </w:r>
      <w:r>
        <w:rPr>
          <w:rFonts w:hint="eastAsia" w:ascii="宋体" w:hAnsi="宋体"/>
          <w:sz w:val="28"/>
          <w:highlight w:val="none"/>
        </w:rPr>
        <w:t>元，明细见《报价明细表》。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1"/>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pPr>
        <w:pStyle w:val="11"/>
        <w:adjustRightInd w:val="0"/>
        <w:snapToGrid w:val="0"/>
        <w:spacing w:before="0" w:beforeAutospacing="0" w:after="0" w:afterAutospacing="0" w:line="360" w:lineRule="auto"/>
        <w:jc w:val="right"/>
        <w:rPr>
          <w:rFonts w:hint="eastAsia"/>
          <w:b/>
          <w:sz w:val="16"/>
          <w:szCs w:val="30"/>
          <w:highlight w:val="none"/>
        </w:rPr>
      </w:pPr>
      <w:r>
        <w:rPr>
          <w:b/>
          <w:sz w:val="16"/>
          <w:szCs w:val="30"/>
          <w:highlight w:val="none"/>
        </w:rPr>
        <w:t>单位：元</w:t>
      </w:r>
    </w:p>
    <w:tbl>
      <w:tblPr>
        <w:tblStyle w:val="29"/>
        <w:tblW w:w="106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4"/>
        <w:gridCol w:w="1437"/>
        <w:gridCol w:w="1330"/>
        <w:gridCol w:w="1277"/>
        <w:gridCol w:w="1167"/>
        <w:gridCol w:w="1143"/>
        <w:gridCol w:w="1143"/>
        <w:gridCol w:w="1143"/>
        <w:gridCol w:w="1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524" w:type="dxa"/>
            <w:noWrap w:val="0"/>
            <w:textDirection w:val="tbRlV"/>
            <w:vAlign w:val="center"/>
          </w:tcPr>
          <w:p>
            <w:pPr>
              <w:pStyle w:val="32"/>
              <w:spacing w:before="149" w:line="217" w:lineRule="auto"/>
              <w:ind w:left="33"/>
              <w:jc w:val="left"/>
              <w:rPr>
                <w:sz w:val="22"/>
                <w:szCs w:val="22"/>
              </w:rPr>
            </w:pPr>
            <w:r>
              <w:rPr>
                <w:sz w:val="22"/>
                <w:szCs w:val="22"/>
              </w:rPr>
              <w:t>序号</w:t>
            </w:r>
          </w:p>
        </w:tc>
        <w:tc>
          <w:tcPr>
            <w:tcW w:w="1437" w:type="dxa"/>
            <w:noWrap w:val="0"/>
            <w:vAlign w:val="center"/>
          </w:tcPr>
          <w:p>
            <w:pPr>
              <w:pStyle w:val="32"/>
              <w:spacing w:before="168" w:line="223" w:lineRule="auto"/>
              <w:jc w:val="center"/>
              <w:rPr>
                <w:sz w:val="22"/>
                <w:szCs w:val="22"/>
              </w:rPr>
            </w:pPr>
            <w:r>
              <w:rPr>
                <w:spacing w:val="19"/>
                <w:sz w:val="22"/>
                <w:szCs w:val="22"/>
              </w:rPr>
              <w:t>品名</w:t>
            </w:r>
          </w:p>
        </w:tc>
        <w:tc>
          <w:tcPr>
            <w:tcW w:w="1330" w:type="dxa"/>
            <w:noWrap w:val="0"/>
            <w:vAlign w:val="center"/>
          </w:tcPr>
          <w:p>
            <w:pPr>
              <w:pStyle w:val="32"/>
              <w:spacing w:before="164" w:line="219" w:lineRule="auto"/>
              <w:ind w:left="302"/>
              <w:jc w:val="center"/>
              <w:rPr>
                <w:sz w:val="22"/>
                <w:szCs w:val="22"/>
              </w:rPr>
            </w:pPr>
            <w:r>
              <w:rPr>
                <w:spacing w:val="12"/>
                <w:sz w:val="22"/>
                <w:szCs w:val="22"/>
              </w:rPr>
              <w:t>规格</w:t>
            </w:r>
          </w:p>
        </w:tc>
        <w:tc>
          <w:tcPr>
            <w:tcW w:w="1277" w:type="dxa"/>
            <w:noWrap w:val="0"/>
            <w:vAlign w:val="center"/>
          </w:tcPr>
          <w:p>
            <w:pPr>
              <w:pStyle w:val="32"/>
              <w:spacing w:before="164" w:line="220" w:lineRule="auto"/>
              <w:ind w:left="176"/>
              <w:jc w:val="center"/>
              <w:rPr>
                <w:sz w:val="22"/>
                <w:szCs w:val="22"/>
              </w:rPr>
            </w:pPr>
            <w:r>
              <w:rPr>
                <w:spacing w:val="-3"/>
                <w:sz w:val="22"/>
                <w:szCs w:val="22"/>
              </w:rPr>
              <w:t>单位</w:t>
            </w:r>
          </w:p>
        </w:tc>
        <w:tc>
          <w:tcPr>
            <w:tcW w:w="1167" w:type="dxa"/>
            <w:noWrap w:val="0"/>
            <w:vAlign w:val="center"/>
          </w:tcPr>
          <w:p>
            <w:pPr>
              <w:pStyle w:val="32"/>
              <w:spacing w:before="164" w:line="219" w:lineRule="auto"/>
              <w:jc w:val="center"/>
              <w:rPr>
                <w:sz w:val="22"/>
                <w:szCs w:val="22"/>
              </w:rPr>
            </w:pPr>
            <w:r>
              <w:rPr>
                <w:spacing w:val="-3"/>
                <w:sz w:val="22"/>
                <w:szCs w:val="22"/>
              </w:rPr>
              <w:t>数量</w:t>
            </w:r>
          </w:p>
        </w:tc>
        <w:tc>
          <w:tcPr>
            <w:tcW w:w="1143" w:type="dxa"/>
            <w:noWrap w:val="0"/>
            <w:vAlign w:val="bottom"/>
          </w:tcPr>
          <w:p>
            <w:pPr>
              <w:pStyle w:val="32"/>
              <w:spacing w:before="165" w:line="221" w:lineRule="auto"/>
              <w:jc w:val="center"/>
              <w:rPr>
                <w:rFonts w:hint="eastAsia" w:eastAsia="宋体"/>
                <w:spacing w:val="5"/>
                <w:sz w:val="22"/>
                <w:szCs w:val="22"/>
                <w:lang w:val="en-US" w:eastAsia="zh-CN"/>
              </w:rPr>
            </w:pPr>
            <w:r>
              <w:rPr>
                <w:rFonts w:hint="eastAsia"/>
                <w:spacing w:val="5"/>
                <w:sz w:val="22"/>
                <w:szCs w:val="22"/>
                <w:lang w:val="en-US" w:eastAsia="zh-CN"/>
              </w:rPr>
              <w:t>不含税单价</w:t>
            </w:r>
          </w:p>
        </w:tc>
        <w:tc>
          <w:tcPr>
            <w:tcW w:w="1143" w:type="dxa"/>
            <w:noWrap w:val="0"/>
            <w:vAlign w:val="center"/>
          </w:tcPr>
          <w:p>
            <w:pPr>
              <w:pStyle w:val="32"/>
              <w:spacing w:before="165" w:line="221" w:lineRule="auto"/>
              <w:jc w:val="center"/>
              <w:rPr>
                <w:rFonts w:hint="eastAsia" w:eastAsia="宋体"/>
                <w:spacing w:val="5"/>
                <w:sz w:val="22"/>
                <w:szCs w:val="22"/>
                <w:lang w:val="en-US" w:eastAsia="zh-CN"/>
              </w:rPr>
            </w:pPr>
            <w:r>
              <w:rPr>
                <w:rFonts w:hint="eastAsia"/>
                <w:spacing w:val="5"/>
                <w:sz w:val="22"/>
                <w:szCs w:val="22"/>
                <w:lang w:val="en-US" w:eastAsia="zh-CN"/>
              </w:rPr>
              <w:t>含税单价</w:t>
            </w:r>
          </w:p>
        </w:tc>
        <w:tc>
          <w:tcPr>
            <w:tcW w:w="1143" w:type="dxa"/>
            <w:noWrap w:val="0"/>
            <w:vAlign w:val="center"/>
          </w:tcPr>
          <w:p>
            <w:pPr>
              <w:pStyle w:val="32"/>
              <w:spacing w:before="165" w:line="221" w:lineRule="auto"/>
              <w:jc w:val="center"/>
              <w:rPr>
                <w:rFonts w:hint="eastAsia" w:eastAsia="宋体"/>
                <w:spacing w:val="5"/>
                <w:sz w:val="22"/>
                <w:szCs w:val="22"/>
                <w:lang w:val="en-US" w:eastAsia="zh-CN"/>
              </w:rPr>
            </w:pPr>
            <w:r>
              <w:rPr>
                <w:rFonts w:hint="eastAsia"/>
                <w:spacing w:val="5"/>
                <w:sz w:val="22"/>
                <w:szCs w:val="22"/>
                <w:lang w:val="en-US" w:eastAsia="zh-CN"/>
              </w:rPr>
              <w:t>含税小计</w:t>
            </w:r>
          </w:p>
        </w:tc>
        <w:tc>
          <w:tcPr>
            <w:tcW w:w="1478" w:type="dxa"/>
            <w:noWrap w:val="0"/>
            <w:vAlign w:val="center"/>
          </w:tcPr>
          <w:p>
            <w:pPr>
              <w:pStyle w:val="32"/>
              <w:spacing w:before="165" w:line="221" w:lineRule="auto"/>
              <w:jc w:val="center"/>
              <w:rPr>
                <w:sz w:val="22"/>
                <w:szCs w:val="22"/>
              </w:rPr>
            </w:pPr>
            <w:r>
              <w:rPr>
                <w:spacing w:val="5"/>
                <w:sz w:val="22"/>
                <w:szCs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jc w:val="center"/>
        </w:trPr>
        <w:tc>
          <w:tcPr>
            <w:tcW w:w="524" w:type="dxa"/>
            <w:noWrap w:val="0"/>
            <w:vAlign w:val="center"/>
          </w:tcPr>
          <w:p>
            <w:pPr>
              <w:spacing w:line="241" w:lineRule="auto"/>
              <w:jc w:val="left"/>
              <w:rPr>
                <w:rFonts w:ascii="Arial"/>
                <w:sz w:val="21"/>
              </w:rPr>
            </w:pPr>
          </w:p>
          <w:p>
            <w:pPr>
              <w:pStyle w:val="32"/>
              <w:spacing w:before="72" w:line="184" w:lineRule="auto"/>
              <w:ind w:left="195"/>
              <w:jc w:val="left"/>
              <w:rPr>
                <w:sz w:val="22"/>
                <w:szCs w:val="22"/>
              </w:rPr>
            </w:pPr>
            <w:r>
              <w:rPr>
                <w:sz w:val="22"/>
                <w:szCs w:val="22"/>
              </w:rPr>
              <w:t>1</w:t>
            </w:r>
          </w:p>
        </w:tc>
        <w:tc>
          <w:tcPr>
            <w:tcW w:w="1437" w:type="dxa"/>
            <w:noWrap w:val="0"/>
            <w:vAlign w:val="center"/>
          </w:tcPr>
          <w:p>
            <w:pPr>
              <w:pStyle w:val="32"/>
              <w:spacing w:before="109"/>
              <w:ind w:left="630" w:leftChars="0" w:right="196" w:rightChars="0" w:hanging="440" w:firstLineChars="0"/>
              <w:jc w:val="center"/>
              <w:rPr>
                <w:rFonts w:hint="default" w:eastAsia="宋体"/>
                <w:sz w:val="22"/>
                <w:szCs w:val="22"/>
                <w:lang w:val="en-US" w:eastAsia="zh-CN"/>
              </w:rPr>
            </w:pPr>
            <w:r>
              <w:rPr>
                <w:rFonts w:hint="eastAsia"/>
                <w:sz w:val="22"/>
                <w:szCs w:val="22"/>
                <w:highlight w:val="none"/>
                <w:lang w:val="en-US" w:eastAsia="zh-CN"/>
              </w:rPr>
              <w:t>床具</w:t>
            </w:r>
          </w:p>
        </w:tc>
        <w:tc>
          <w:tcPr>
            <w:tcW w:w="1330" w:type="dxa"/>
            <w:noWrap w:val="0"/>
            <w:vAlign w:val="center"/>
          </w:tcPr>
          <w:p>
            <w:pPr>
              <w:keepNext w:val="0"/>
              <w:keepLines w:val="0"/>
              <w:widowControl/>
              <w:suppressLineNumbers w:val="0"/>
              <w:jc w:val="center"/>
              <w:textAlignment w:val="center"/>
              <w:rPr>
                <w:rFonts w:hint="default" w:eastAsia="宋体"/>
                <w:sz w:val="22"/>
                <w:szCs w:val="22"/>
                <w:lang w:val="en-US" w:eastAsia="zh-CN"/>
              </w:rPr>
            </w:pPr>
            <w:r>
              <w:rPr>
                <w:rFonts w:hint="eastAsia" w:eastAsia="宋体"/>
                <w:sz w:val="22"/>
                <w:szCs w:val="22"/>
                <w:highlight w:val="none"/>
                <w:lang w:val="en-US" w:eastAsia="zh-CN"/>
              </w:rPr>
              <w:t>详见附件</w:t>
            </w:r>
          </w:p>
        </w:tc>
        <w:tc>
          <w:tcPr>
            <w:tcW w:w="1277" w:type="dxa"/>
            <w:noWrap w:val="0"/>
            <w:vAlign w:val="center"/>
          </w:tcPr>
          <w:p>
            <w:pPr>
              <w:pStyle w:val="32"/>
              <w:spacing w:before="259" w:line="220" w:lineRule="auto"/>
              <w:ind w:left="286" w:leftChars="0"/>
              <w:jc w:val="center"/>
              <w:rPr>
                <w:rFonts w:hint="eastAsia" w:eastAsia="宋体"/>
                <w:sz w:val="22"/>
                <w:szCs w:val="22"/>
                <w:lang w:eastAsia="zh-CN"/>
              </w:rPr>
            </w:pPr>
            <w:r>
              <w:rPr>
                <w:rFonts w:hint="eastAsia"/>
                <w:sz w:val="22"/>
                <w:szCs w:val="22"/>
                <w:highlight w:val="none"/>
                <w:lang w:val="en-US" w:eastAsia="zh-CN"/>
              </w:rPr>
              <w:t>组</w:t>
            </w:r>
          </w:p>
        </w:tc>
        <w:tc>
          <w:tcPr>
            <w:tcW w:w="1167" w:type="dxa"/>
            <w:noWrap w:val="0"/>
            <w:vAlign w:val="center"/>
          </w:tcPr>
          <w:p>
            <w:pPr>
              <w:keepNext w:val="0"/>
              <w:keepLines w:val="0"/>
              <w:widowControl/>
              <w:suppressLineNumbers w:val="0"/>
              <w:jc w:val="center"/>
              <w:textAlignment w:val="center"/>
              <w:rPr>
                <w:rFonts w:hint="default" w:eastAsia="宋体"/>
                <w:sz w:val="22"/>
                <w:szCs w:val="22"/>
                <w:lang w:val="en-US" w:eastAsia="zh-CN"/>
              </w:rPr>
            </w:pPr>
            <w:r>
              <w:rPr>
                <w:rFonts w:hint="eastAsia" w:eastAsia="宋体"/>
                <w:sz w:val="22"/>
                <w:szCs w:val="22"/>
                <w:highlight w:val="none"/>
                <w:lang w:val="en-US" w:eastAsia="zh-CN"/>
              </w:rPr>
              <w:t>320</w:t>
            </w:r>
          </w:p>
        </w:tc>
        <w:tc>
          <w:tcPr>
            <w:tcW w:w="1143" w:type="dxa"/>
            <w:noWrap w:val="0"/>
            <w:vAlign w:val="center"/>
          </w:tcPr>
          <w:p>
            <w:pPr>
              <w:pStyle w:val="32"/>
              <w:spacing w:before="148" w:line="233" w:lineRule="auto"/>
              <w:ind w:left="438" w:right="65" w:hanging="330"/>
              <w:jc w:val="left"/>
              <w:rPr>
                <w:sz w:val="22"/>
                <w:szCs w:val="22"/>
              </w:rPr>
            </w:pPr>
          </w:p>
        </w:tc>
        <w:tc>
          <w:tcPr>
            <w:tcW w:w="1143" w:type="dxa"/>
            <w:noWrap w:val="0"/>
            <w:vAlign w:val="center"/>
          </w:tcPr>
          <w:p>
            <w:pPr>
              <w:pStyle w:val="32"/>
              <w:spacing w:before="148" w:line="233" w:lineRule="auto"/>
              <w:ind w:left="438" w:right="65" w:hanging="330"/>
              <w:jc w:val="left"/>
              <w:rPr>
                <w:sz w:val="22"/>
                <w:szCs w:val="22"/>
              </w:rPr>
            </w:pPr>
          </w:p>
        </w:tc>
        <w:tc>
          <w:tcPr>
            <w:tcW w:w="1143" w:type="dxa"/>
            <w:noWrap w:val="0"/>
            <w:vAlign w:val="center"/>
          </w:tcPr>
          <w:p>
            <w:pPr>
              <w:pStyle w:val="32"/>
              <w:spacing w:before="148" w:line="233" w:lineRule="auto"/>
              <w:ind w:left="438" w:right="65" w:hanging="330"/>
              <w:jc w:val="left"/>
              <w:rPr>
                <w:sz w:val="22"/>
                <w:szCs w:val="22"/>
              </w:rPr>
            </w:pPr>
          </w:p>
        </w:tc>
        <w:tc>
          <w:tcPr>
            <w:tcW w:w="1478" w:type="dxa"/>
            <w:noWrap w:val="0"/>
            <w:vAlign w:val="center"/>
          </w:tcPr>
          <w:p>
            <w:pPr>
              <w:pStyle w:val="32"/>
              <w:spacing w:before="148" w:line="233" w:lineRule="auto"/>
              <w:ind w:left="238" w:leftChars="0" w:right="65" w:hanging="18" w:firstLineChars="0"/>
              <w:jc w:val="both"/>
              <w:rPr>
                <w:sz w:val="22"/>
                <w:szCs w:val="22"/>
              </w:rPr>
            </w:pPr>
            <w:r>
              <w:rPr>
                <w:rFonts w:hint="eastAsia"/>
                <w:sz w:val="22"/>
                <w:szCs w:val="22"/>
              </w:rPr>
              <w:t>至少含括2套上下床、1组楼梯柜、6个床头护栏、2个床护栏(含卡塑)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524" w:type="dxa"/>
            <w:noWrap w:val="0"/>
            <w:vAlign w:val="center"/>
          </w:tcPr>
          <w:p>
            <w:pPr>
              <w:spacing w:line="243" w:lineRule="auto"/>
              <w:jc w:val="left"/>
              <w:rPr>
                <w:rFonts w:ascii="Arial"/>
                <w:sz w:val="21"/>
              </w:rPr>
            </w:pPr>
          </w:p>
          <w:p>
            <w:pPr>
              <w:pStyle w:val="32"/>
              <w:spacing w:before="72" w:line="183" w:lineRule="auto"/>
              <w:ind w:left="195"/>
              <w:jc w:val="left"/>
              <w:rPr>
                <w:sz w:val="22"/>
                <w:szCs w:val="22"/>
              </w:rPr>
            </w:pPr>
            <w:r>
              <w:rPr>
                <w:sz w:val="22"/>
                <w:szCs w:val="22"/>
              </w:rPr>
              <w:t>2</w:t>
            </w:r>
          </w:p>
        </w:tc>
        <w:tc>
          <w:tcPr>
            <w:tcW w:w="1437" w:type="dxa"/>
            <w:noWrap w:val="0"/>
            <w:vAlign w:val="center"/>
          </w:tcPr>
          <w:p>
            <w:pPr>
              <w:spacing w:before="123" w:line="244" w:lineRule="auto"/>
              <w:ind w:left="630" w:leftChars="0" w:right="214" w:rightChars="0" w:hanging="440" w:firstLineChars="0"/>
              <w:jc w:val="center"/>
              <w:rPr>
                <w:sz w:val="22"/>
                <w:szCs w:val="22"/>
              </w:rPr>
            </w:pPr>
            <w:r>
              <w:rPr>
                <w:rFonts w:hint="eastAsia"/>
                <w:sz w:val="22"/>
                <w:szCs w:val="22"/>
                <w:highlight w:val="none"/>
                <w:lang w:val="en-US" w:eastAsia="zh-CN"/>
              </w:rPr>
              <w:t>四人铁皮衣柜</w:t>
            </w:r>
          </w:p>
        </w:tc>
        <w:tc>
          <w:tcPr>
            <w:tcW w:w="1330" w:type="dxa"/>
            <w:noWrap w:val="0"/>
            <w:vAlign w:val="center"/>
          </w:tcPr>
          <w:p>
            <w:pPr>
              <w:pStyle w:val="32"/>
              <w:spacing w:before="72" w:line="183" w:lineRule="auto"/>
              <w:jc w:val="center"/>
              <w:rPr>
                <w:rFonts w:hint="default" w:eastAsia="宋体"/>
                <w:sz w:val="22"/>
                <w:szCs w:val="22"/>
                <w:lang w:val="en-US" w:eastAsia="zh-CN"/>
              </w:rPr>
            </w:pPr>
            <w:r>
              <w:rPr>
                <w:rFonts w:hint="eastAsia"/>
                <w:sz w:val="22"/>
                <w:szCs w:val="22"/>
                <w:highlight w:val="none"/>
                <w:lang w:val="en-US" w:eastAsia="zh-CN"/>
              </w:rPr>
              <w:t>详见附件</w:t>
            </w:r>
          </w:p>
        </w:tc>
        <w:tc>
          <w:tcPr>
            <w:tcW w:w="1277" w:type="dxa"/>
            <w:noWrap w:val="0"/>
            <w:vAlign w:val="center"/>
          </w:tcPr>
          <w:p>
            <w:pPr>
              <w:spacing w:before="272" w:line="220" w:lineRule="auto"/>
              <w:ind w:left="286" w:leftChars="0"/>
              <w:jc w:val="center"/>
              <w:rPr>
                <w:sz w:val="22"/>
                <w:szCs w:val="22"/>
              </w:rPr>
            </w:pPr>
            <w:r>
              <w:rPr>
                <w:rFonts w:hint="eastAsia"/>
                <w:sz w:val="22"/>
                <w:szCs w:val="22"/>
                <w:highlight w:val="none"/>
                <w:lang w:val="en-US" w:eastAsia="zh-CN"/>
              </w:rPr>
              <w:t>组</w:t>
            </w:r>
          </w:p>
        </w:tc>
        <w:tc>
          <w:tcPr>
            <w:tcW w:w="1167" w:type="dxa"/>
            <w:noWrap w:val="0"/>
            <w:vAlign w:val="bottom"/>
          </w:tcPr>
          <w:p>
            <w:pPr>
              <w:pStyle w:val="32"/>
              <w:spacing w:before="72" w:line="183" w:lineRule="auto"/>
              <w:jc w:val="center"/>
              <w:rPr>
                <w:rFonts w:hint="default" w:eastAsia="宋体"/>
                <w:sz w:val="22"/>
                <w:szCs w:val="22"/>
                <w:lang w:val="en-US" w:eastAsia="zh-CN"/>
              </w:rPr>
            </w:pPr>
            <w:r>
              <w:rPr>
                <w:rFonts w:hint="eastAsia"/>
                <w:sz w:val="22"/>
                <w:szCs w:val="22"/>
                <w:highlight w:val="none"/>
                <w:lang w:val="en-US" w:eastAsia="zh-CN"/>
              </w:rPr>
              <w:t>320</w:t>
            </w:r>
          </w:p>
        </w:tc>
        <w:tc>
          <w:tcPr>
            <w:tcW w:w="1143" w:type="dxa"/>
            <w:noWrap w:val="0"/>
            <w:vAlign w:val="bottom"/>
          </w:tcPr>
          <w:p>
            <w:pPr>
              <w:pStyle w:val="32"/>
              <w:spacing w:before="139" w:line="233" w:lineRule="auto"/>
              <w:ind w:left="438" w:right="65" w:hanging="330"/>
              <w:jc w:val="center"/>
              <w:rPr>
                <w:sz w:val="22"/>
                <w:szCs w:val="22"/>
              </w:rPr>
            </w:pPr>
          </w:p>
        </w:tc>
        <w:tc>
          <w:tcPr>
            <w:tcW w:w="1143" w:type="dxa"/>
            <w:noWrap w:val="0"/>
            <w:vAlign w:val="bottom"/>
          </w:tcPr>
          <w:p>
            <w:pPr>
              <w:pStyle w:val="32"/>
              <w:spacing w:before="139" w:line="233" w:lineRule="auto"/>
              <w:ind w:left="438" w:right="65" w:hanging="330"/>
              <w:jc w:val="center"/>
              <w:rPr>
                <w:sz w:val="22"/>
                <w:szCs w:val="22"/>
              </w:rPr>
            </w:pPr>
          </w:p>
        </w:tc>
        <w:tc>
          <w:tcPr>
            <w:tcW w:w="1143" w:type="dxa"/>
            <w:noWrap w:val="0"/>
            <w:vAlign w:val="bottom"/>
          </w:tcPr>
          <w:p>
            <w:pPr>
              <w:pStyle w:val="32"/>
              <w:spacing w:before="139" w:line="233" w:lineRule="auto"/>
              <w:ind w:left="438" w:right="65" w:hanging="330"/>
              <w:jc w:val="center"/>
              <w:rPr>
                <w:sz w:val="22"/>
                <w:szCs w:val="22"/>
              </w:rPr>
            </w:pPr>
          </w:p>
        </w:tc>
        <w:tc>
          <w:tcPr>
            <w:tcW w:w="1478" w:type="dxa"/>
            <w:noWrap w:val="0"/>
            <w:vAlign w:val="bottom"/>
          </w:tcPr>
          <w:p>
            <w:pPr>
              <w:pStyle w:val="32"/>
              <w:spacing w:before="139" w:line="233" w:lineRule="auto"/>
              <w:ind w:left="438" w:right="65" w:hanging="330"/>
              <w:jc w:val="cente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5735" w:type="dxa"/>
            <w:gridSpan w:val="5"/>
            <w:vMerge w:val="restart"/>
            <w:noWrap w:val="0"/>
            <w:vAlign w:val="center"/>
          </w:tcPr>
          <w:p>
            <w:pPr>
              <w:pStyle w:val="32"/>
              <w:spacing w:before="72" w:line="183" w:lineRule="auto"/>
              <w:jc w:val="center"/>
              <w:rPr>
                <w:rFonts w:hint="default"/>
                <w:sz w:val="22"/>
                <w:szCs w:val="22"/>
                <w:lang w:val="en-US" w:eastAsia="zh-CN"/>
              </w:rPr>
            </w:pPr>
            <w:r>
              <w:rPr>
                <w:rFonts w:hint="eastAsia"/>
                <w:sz w:val="22"/>
                <w:szCs w:val="22"/>
                <w:lang w:val="en-US" w:eastAsia="zh-CN"/>
              </w:rPr>
              <w:t>不含税合计（元）</w:t>
            </w:r>
          </w:p>
        </w:tc>
        <w:tc>
          <w:tcPr>
            <w:tcW w:w="4907" w:type="dxa"/>
            <w:gridSpan w:val="4"/>
            <w:noWrap w:val="0"/>
            <w:vAlign w:val="center"/>
          </w:tcPr>
          <w:p>
            <w:pPr>
              <w:pStyle w:val="32"/>
              <w:spacing w:before="163" w:line="228" w:lineRule="auto"/>
              <w:ind w:left="438" w:right="65" w:hanging="330"/>
              <w:jc w:val="both"/>
              <w:rPr>
                <w:rFonts w:hint="eastAsia" w:eastAsia="宋体"/>
                <w:sz w:val="22"/>
                <w:szCs w:val="22"/>
                <w:lang w:val="en-US" w:eastAsia="zh-CN"/>
              </w:rPr>
            </w:pPr>
            <w:r>
              <w:rPr>
                <w:rFonts w:hint="eastAsia"/>
                <w:sz w:val="22"/>
                <w:szCs w:val="22"/>
                <w:lang w:val="en-US" w:eastAsia="zh-CN"/>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5735" w:type="dxa"/>
            <w:gridSpan w:val="5"/>
            <w:vMerge w:val="continue"/>
            <w:noWrap w:val="0"/>
            <w:vAlign w:val="center"/>
          </w:tcPr>
          <w:p>
            <w:pPr>
              <w:pStyle w:val="32"/>
              <w:spacing w:before="72" w:line="183" w:lineRule="auto"/>
              <w:jc w:val="center"/>
              <w:rPr>
                <w:rFonts w:hint="eastAsia"/>
                <w:sz w:val="22"/>
                <w:szCs w:val="22"/>
                <w:lang w:val="en-US" w:eastAsia="zh-CN"/>
              </w:rPr>
            </w:pPr>
          </w:p>
        </w:tc>
        <w:tc>
          <w:tcPr>
            <w:tcW w:w="4907" w:type="dxa"/>
            <w:gridSpan w:val="4"/>
            <w:noWrap w:val="0"/>
            <w:vAlign w:val="center"/>
          </w:tcPr>
          <w:p>
            <w:pPr>
              <w:pStyle w:val="32"/>
              <w:spacing w:before="163" w:line="228" w:lineRule="auto"/>
              <w:ind w:left="438" w:right="65" w:hanging="330"/>
              <w:jc w:val="both"/>
              <w:rPr>
                <w:rFonts w:hint="eastAsia" w:eastAsia="宋体"/>
                <w:sz w:val="22"/>
                <w:szCs w:val="22"/>
                <w:lang w:val="en-US" w:eastAsia="zh-CN"/>
              </w:rPr>
            </w:pPr>
            <w:r>
              <w:rPr>
                <w:rFonts w:hint="eastAsia"/>
                <w:sz w:val="22"/>
                <w:szCs w:val="22"/>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5735" w:type="dxa"/>
            <w:gridSpan w:val="5"/>
            <w:vMerge w:val="restart"/>
            <w:noWrap w:val="0"/>
            <w:vAlign w:val="center"/>
          </w:tcPr>
          <w:p>
            <w:pPr>
              <w:pStyle w:val="32"/>
              <w:spacing w:before="72" w:line="183" w:lineRule="auto"/>
              <w:jc w:val="center"/>
              <w:rPr>
                <w:rFonts w:hint="default"/>
                <w:sz w:val="22"/>
                <w:szCs w:val="22"/>
                <w:lang w:val="en-US" w:eastAsia="zh-CN"/>
              </w:rPr>
            </w:pPr>
            <w:r>
              <w:rPr>
                <w:rFonts w:hint="eastAsia"/>
                <w:sz w:val="22"/>
                <w:szCs w:val="22"/>
                <w:lang w:val="en-US" w:eastAsia="zh-CN"/>
              </w:rPr>
              <w:t>含税合计（元）</w:t>
            </w:r>
          </w:p>
        </w:tc>
        <w:tc>
          <w:tcPr>
            <w:tcW w:w="4907" w:type="dxa"/>
            <w:gridSpan w:val="4"/>
            <w:noWrap w:val="0"/>
            <w:vAlign w:val="center"/>
          </w:tcPr>
          <w:p>
            <w:pPr>
              <w:pStyle w:val="32"/>
              <w:spacing w:before="163" w:line="228" w:lineRule="auto"/>
              <w:ind w:left="438" w:leftChars="0" w:right="65" w:rightChars="0" w:hanging="330" w:firstLineChars="0"/>
              <w:jc w:val="both"/>
              <w:rPr>
                <w:sz w:val="22"/>
                <w:szCs w:val="22"/>
              </w:rPr>
            </w:pPr>
            <w:r>
              <w:rPr>
                <w:rFonts w:hint="eastAsia"/>
                <w:sz w:val="22"/>
                <w:szCs w:val="22"/>
                <w:lang w:val="en-US" w:eastAsia="zh-CN"/>
              </w:rPr>
              <w:t>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5735" w:type="dxa"/>
            <w:gridSpan w:val="5"/>
            <w:vMerge w:val="continue"/>
            <w:noWrap w:val="0"/>
            <w:vAlign w:val="center"/>
          </w:tcPr>
          <w:p>
            <w:pPr>
              <w:pStyle w:val="32"/>
              <w:spacing w:before="72" w:line="183" w:lineRule="auto"/>
              <w:jc w:val="center"/>
              <w:rPr>
                <w:rFonts w:hint="eastAsia"/>
                <w:sz w:val="22"/>
                <w:szCs w:val="22"/>
                <w:lang w:val="en-US" w:eastAsia="zh-CN"/>
              </w:rPr>
            </w:pPr>
          </w:p>
        </w:tc>
        <w:tc>
          <w:tcPr>
            <w:tcW w:w="4907" w:type="dxa"/>
            <w:gridSpan w:val="4"/>
            <w:noWrap w:val="0"/>
            <w:vAlign w:val="center"/>
          </w:tcPr>
          <w:p>
            <w:pPr>
              <w:pStyle w:val="32"/>
              <w:spacing w:before="163" w:line="228" w:lineRule="auto"/>
              <w:ind w:left="438" w:leftChars="0" w:right="65" w:rightChars="0" w:hanging="330" w:firstLineChars="0"/>
              <w:jc w:val="both"/>
              <w:rPr>
                <w:sz w:val="22"/>
                <w:szCs w:val="22"/>
              </w:rPr>
            </w:pPr>
            <w:r>
              <w:rPr>
                <w:rFonts w:hint="eastAsia"/>
                <w:sz w:val="22"/>
                <w:szCs w:val="22"/>
                <w:lang w:val="en-US" w:eastAsia="zh-CN"/>
              </w:rPr>
              <w:t>￥：</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b/>
          <w:bCs/>
          <w:sz w:val="28"/>
          <w:highlight w:val="none"/>
          <w:lang w:val="en-US" w:eastAsia="zh-CN"/>
        </w:rPr>
      </w:pPr>
      <w:r>
        <w:rPr>
          <w:rFonts w:hint="eastAsia" w:ascii="宋体" w:hAnsi="宋体"/>
          <w:b/>
          <w:bCs/>
          <w:sz w:val="28"/>
          <w:highlight w:val="none"/>
          <w:lang w:val="en-US" w:eastAsia="zh-CN"/>
        </w:rPr>
        <w:t>床具生产厂家名称：</w:t>
      </w:r>
      <w:r>
        <w:rPr>
          <w:rFonts w:hint="eastAsia" w:ascii="宋体" w:hAnsi="宋体"/>
          <w:b/>
          <w:bCs/>
          <w:sz w:val="28"/>
          <w:highlight w:val="none"/>
          <w:u w:val="single"/>
          <w:lang w:val="en-US" w:eastAsia="zh-CN"/>
        </w:rPr>
        <w:t>（经销商填写）</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sz w:val="28"/>
          <w:highlight w:val="none"/>
        </w:rPr>
      </w:pPr>
      <w:r>
        <w:rPr>
          <w:rFonts w:hint="eastAsia" w:ascii="宋体" w:hAnsi="宋体"/>
          <w:sz w:val="28"/>
          <w:highlight w:val="none"/>
        </w:rPr>
        <w:t>上述货物的报价（综合单价）包括下列费用：</w:t>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（2）货物的成本、利润、税金、开办费、技术措施费、市场价格变动和国家政策调整风险费；</w:t>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（4）货物的检验检测、技术服务等费用。</w:t>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（5）上述数量均为预估数量，具体数量需以采购人通知的为准，在得到采购人所通知的具体数量后供应商才可以加工、发货。</w:t>
      </w:r>
    </w:p>
    <w:p>
      <w:pPr>
        <w:keepNext w:val="0"/>
        <w:keepLines w:val="0"/>
        <w:pageBreakBefore w:val="0"/>
        <w:widowControl w:val="0"/>
        <w:kinsoku/>
        <w:wordWrap/>
        <w:overflowPunct/>
        <w:topLinePunct w:val="0"/>
        <w:autoSpaceDE/>
        <w:autoSpaceDN/>
        <w:bidi w:val="0"/>
        <w:adjustRightInd/>
        <w:snapToGrid/>
        <w:spacing w:line="560" w:lineRule="exact"/>
        <w:ind w:firstLine="570"/>
        <w:jc w:val="left"/>
        <w:textAlignment w:val="auto"/>
        <w:rPr>
          <w:rFonts w:hint="eastAsia" w:ascii="宋体" w:hAnsi="宋体"/>
          <w:sz w:val="28"/>
          <w:highlight w:val="none"/>
        </w:rPr>
      </w:pPr>
      <w:r>
        <w:rPr>
          <w:rFonts w:hint="eastAsia" w:ascii="宋体" w:hAnsi="宋体"/>
          <w:sz w:val="28"/>
          <w:highlight w:val="none"/>
        </w:rPr>
        <w:t>（6）报价人报价时须考虑现场抽样送检损耗部分，货物在抽样送</w:t>
      </w:r>
      <w:r>
        <w:rPr>
          <w:rFonts w:hint="eastAsia" w:ascii="宋体" w:hAnsi="宋体"/>
          <w:sz w:val="28"/>
          <w:highlight w:val="none"/>
          <w:lang w:val="en-US" w:eastAsia="zh-CN"/>
        </w:rPr>
        <w:t>检</w:t>
      </w:r>
      <w:r>
        <w:rPr>
          <w:rFonts w:hint="eastAsia" w:ascii="宋体" w:hAnsi="宋体"/>
          <w:sz w:val="28"/>
          <w:highlight w:val="none"/>
        </w:rPr>
        <w:t>损耗后成交人须进行补齐，确保最终实际安装数量为320套。</w:t>
      </w:r>
    </w:p>
    <w:p>
      <w:pPr>
        <w:keepNext w:val="0"/>
        <w:keepLines w:val="0"/>
        <w:pageBreakBefore w:val="0"/>
        <w:widowControl w:val="0"/>
        <w:kinsoku/>
        <w:wordWrap/>
        <w:overflowPunct/>
        <w:topLinePunct w:val="0"/>
        <w:autoSpaceDE/>
        <w:autoSpaceDN/>
        <w:bidi w:val="0"/>
        <w:adjustRightInd/>
        <w:snapToGrid/>
        <w:spacing w:line="560" w:lineRule="exact"/>
        <w:ind w:firstLine="3080" w:firstLineChars="1100"/>
        <w:jc w:val="lef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56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560" w:lineRule="exact"/>
        <w:ind w:firstLine="3360" w:firstLineChars="1200"/>
        <w:jc w:val="left"/>
        <w:textAlignment w:val="auto"/>
        <w:rPr>
          <w:rFonts w:hint="eastAsia" w:ascii="宋体" w:hAnsi="宋体"/>
          <w:b/>
          <w:sz w:val="28"/>
          <w:highlight w:val="none"/>
        </w:rPr>
      </w:pPr>
      <w:r>
        <w:rPr>
          <w:rFonts w:hint="eastAsia" w:ascii="宋体" w:hAnsi="宋体"/>
          <w:sz w:val="28"/>
          <w:highlight w:val="none"/>
        </w:rPr>
        <w:t>日  期：</w:t>
      </w: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hint="eastAsia"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10"/>
        <w:rPr>
          <w:rFonts w:hint="eastAsia" w:ascii="宋体" w:hAnsi="宋体" w:cs="宋体"/>
          <w:b/>
          <w:bCs/>
          <w:color w:val="0D0D0D"/>
          <w:sz w:val="28"/>
          <w:szCs w:val="28"/>
          <w:highlight w:val="none"/>
        </w:rPr>
      </w:pPr>
    </w:p>
    <w:p>
      <w:pPr>
        <w:pStyle w:val="10"/>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hint="eastAsia"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lang w:val="en-US" w:eastAsia="zh-CN"/>
        </w:rPr>
        <w:t>1</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lang w:val="en-US" w:eastAsia="zh-CN"/>
        </w:rPr>
        <w:t>2</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lang w:val="zh-CN"/>
        </w:rPr>
        <w:t>本单位在成交后提供的</w:t>
      </w:r>
      <w:r>
        <w:rPr>
          <w:rFonts w:hint="eastAsia" w:ascii="仿宋" w:hAnsi="仿宋" w:eastAsia="仿宋" w:cs="仿宋"/>
          <w:bCs/>
          <w:sz w:val="28"/>
          <w:szCs w:val="28"/>
          <w:highlight w:val="none"/>
          <w:lang w:val="en-US" w:eastAsia="zh-CN"/>
        </w:rPr>
        <w:t>样品和</w:t>
      </w:r>
      <w:r>
        <w:rPr>
          <w:rFonts w:hint="eastAsia" w:ascii="仿宋" w:hAnsi="仿宋" w:eastAsia="仿宋" w:cs="仿宋"/>
          <w:bCs/>
          <w:sz w:val="28"/>
          <w:szCs w:val="28"/>
          <w:highlight w:val="none"/>
          <w:lang w:val="zh-CN"/>
        </w:rPr>
        <w:t>货物与采购文件要求不一致时，贵单位即取消我单位供货资格并终止合同，引发的一切后果由我单位自行承担。</w:t>
      </w:r>
      <w:bookmarkStart w:id="2" w:name="_GoBack"/>
      <w:bookmarkEnd w:id="2"/>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3F20393"/>
    <w:rsid w:val="04CE1F73"/>
    <w:rsid w:val="05404C1F"/>
    <w:rsid w:val="071F2612"/>
    <w:rsid w:val="0A3630C6"/>
    <w:rsid w:val="0AA74DF8"/>
    <w:rsid w:val="13FF371A"/>
    <w:rsid w:val="1441474E"/>
    <w:rsid w:val="155F7BD2"/>
    <w:rsid w:val="1F1840BF"/>
    <w:rsid w:val="24FB4CFE"/>
    <w:rsid w:val="2A44045E"/>
    <w:rsid w:val="310C630A"/>
    <w:rsid w:val="31A31F0E"/>
    <w:rsid w:val="32AB72CC"/>
    <w:rsid w:val="33EC1990"/>
    <w:rsid w:val="3502780C"/>
    <w:rsid w:val="3B375531"/>
    <w:rsid w:val="3C4D64ED"/>
    <w:rsid w:val="3C536E75"/>
    <w:rsid w:val="3D56117A"/>
    <w:rsid w:val="3E6A11F8"/>
    <w:rsid w:val="45963EE5"/>
    <w:rsid w:val="49282FCC"/>
    <w:rsid w:val="4DD24807"/>
    <w:rsid w:val="4F26789B"/>
    <w:rsid w:val="59B23E2E"/>
    <w:rsid w:val="5CB5471F"/>
    <w:rsid w:val="5E0F7E5F"/>
    <w:rsid w:val="613D2F35"/>
    <w:rsid w:val="645F3E7A"/>
    <w:rsid w:val="64FD7449"/>
    <w:rsid w:val="65331170"/>
    <w:rsid w:val="680571B7"/>
    <w:rsid w:val="6AD77CF8"/>
    <w:rsid w:val="6B182A49"/>
    <w:rsid w:val="6FFB46E7"/>
    <w:rsid w:val="71380B4B"/>
    <w:rsid w:val="7A986FF2"/>
    <w:rsid w:val="7AE8258A"/>
    <w:rsid w:val="7D165E47"/>
    <w:rsid w:val="7E2B263C"/>
    <w:rsid w:val="7F8A15E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qFormat/>
    <w:uiPriority w:val="0"/>
    <w:rPr>
      <w:sz w:val="18"/>
      <w:szCs w:val="18"/>
    </w:rPr>
  </w:style>
  <w:style w:type="paragraph" w:styleId="8">
    <w:name w:val="footer"/>
    <w:basedOn w:val="1"/>
    <w:link w:val="23"/>
    <w:unhideWhenUsed/>
    <w:qFormat/>
    <w:uiPriority w:val="0"/>
    <w:pPr>
      <w:tabs>
        <w:tab w:val="center" w:pos="4153"/>
        <w:tab w:val="right" w:pos="8306"/>
      </w:tabs>
      <w:snapToGrid w:val="0"/>
      <w:jc w:val="left"/>
    </w:pPr>
    <w:rPr>
      <w:kern w:val="0"/>
      <w:sz w:val="18"/>
      <w:szCs w:val="18"/>
    </w:rPr>
  </w:style>
  <w:style w:type="paragraph" w:styleId="9">
    <w:name w:val="header"/>
    <w:basedOn w:val="1"/>
    <w:link w:val="24"/>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b/>
      <w:kern w:val="44"/>
      <w:sz w:val="44"/>
    </w:rPr>
  </w:style>
  <w:style w:type="character" w:customStyle="1" w:styleId="18">
    <w:name w:val="标题 2 Char1"/>
    <w:link w:val="3"/>
    <w:qFormat/>
    <w:uiPriority w:val="0"/>
    <w:rPr>
      <w:rFonts w:ascii="宋体" w:hAnsi="宋体" w:cs="宋体"/>
      <w:b/>
      <w:sz w:val="36"/>
      <w:szCs w:val="36"/>
    </w:rPr>
  </w:style>
  <w:style w:type="character" w:customStyle="1" w:styleId="19">
    <w:name w:val="正文文本 Char"/>
    <w:link w:val="4"/>
    <w:qFormat/>
    <w:uiPriority w:val="0"/>
    <w:rPr>
      <w:rFonts w:ascii="Times New Roman" w:hAnsi="Times New Roman"/>
      <w:kern w:val="2"/>
      <w:sz w:val="21"/>
    </w:rPr>
  </w:style>
  <w:style w:type="character" w:customStyle="1" w:styleId="20">
    <w:name w:val="正文文本缩进 Char"/>
    <w:link w:val="5"/>
    <w:qFormat/>
    <w:uiPriority w:val="0"/>
    <w:rPr>
      <w:rFonts w:ascii="Times New Roman" w:hAnsi="Times New Roman"/>
      <w:kern w:val="2"/>
      <w:sz w:val="21"/>
    </w:rPr>
  </w:style>
  <w:style w:type="character" w:customStyle="1" w:styleId="21">
    <w:name w:val="正文文本缩进 2 Char"/>
    <w:link w:val="6"/>
    <w:qFormat/>
    <w:uiPriority w:val="0"/>
    <w:rPr>
      <w:rFonts w:ascii="Times New Roman" w:hAnsi="Times New Roman"/>
      <w:kern w:val="2"/>
      <w:sz w:val="21"/>
      <w:szCs w:val="22"/>
    </w:rPr>
  </w:style>
  <w:style w:type="character" w:customStyle="1" w:styleId="22">
    <w:name w:val="批注框文本 Char"/>
    <w:link w:val="7"/>
    <w:qFormat/>
    <w:uiPriority w:val="0"/>
    <w:rPr>
      <w:kern w:val="2"/>
      <w:sz w:val="18"/>
      <w:szCs w:val="18"/>
    </w:rPr>
  </w:style>
  <w:style w:type="character" w:customStyle="1" w:styleId="23">
    <w:name w:val="页脚 Char"/>
    <w:link w:val="8"/>
    <w:qFormat/>
    <w:uiPriority w:val="0"/>
    <w:rPr>
      <w:sz w:val="18"/>
      <w:szCs w:val="18"/>
    </w:rPr>
  </w:style>
  <w:style w:type="character" w:customStyle="1" w:styleId="24">
    <w:name w:val="页眉 Char"/>
    <w:link w:val="9"/>
    <w:qFormat/>
    <w:uiPriority w:val="0"/>
    <w:rPr>
      <w:sz w:val="18"/>
      <w:szCs w:val="18"/>
    </w:rPr>
  </w:style>
  <w:style w:type="character" w:customStyle="1" w:styleId="25">
    <w:name w:val="脚注文本 Char"/>
    <w:link w:val="10"/>
    <w:semiHidden/>
    <w:qFormat/>
    <w:uiPriority w:val="99"/>
    <w:rPr>
      <w:rFonts w:ascii="Times New Roman" w:hAnsi="Times New Roman"/>
      <w:sz w:val="18"/>
      <w:szCs w:val="18"/>
    </w:rPr>
  </w:style>
  <w:style w:type="character" w:customStyle="1" w:styleId="26">
    <w:name w:val="正文首行缩进 Char"/>
    <w:basedOn w:val="19"/>
    <w:link w:val="12"/>
    <w:qFormat/>
    <w:uiPriority w:val="0"/>
  </w:style>
  <w:style w:type="character" w:customStyle="1" w:styleId="27">
    <w:name w:val="正文首行缩进 2 Char"/>
    <w:basedOn w:val="20"/>
    <w:link w:val="13"/>
    <w:qFormat/>
    <w:uiPriority w:val="0"/>
  </w:style>
  <w:style w:type="character" w:customStyle="1" w:styleId="28">
    <w:name w:val="标题 2 Char"/>
    <w:semiHidden/>
    <w:qFormat/>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CellMar>
        <w:left w:w="0" w:type="dxa"/>
        <w:right w:w="0" w:type="dxa"/>
      </w:tblCellMar>
    </w:tblPr>
  </w:style>
  <w:style w:type="paragraph" w:customStyle="1" w:styleId="30">
    <w:name w:val=" Char"/>
    <w:basedOn w:val="1"/>
    <w:qFormat/>
    <w:uiPriority w:val="0"/>
    <w:rPr>
      <w:rFonts w:ascii="Times New Roman" w:hAnsi="Times New Roman"/>
      <w:szCs w:val="20"/>
    </w:rPr>
  </w:style>
  <w:style w:type="paragraph" w:customStyle="1" w:styleId="31">
    <w:name w:val="Char"/>
    <w:basedOn w:val="1"/>
    <w:qFormat/>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qFormat/>
    <w:uiPriority w:val="0"/>
    <w:rPr>
      <w:rFonts w:hint="eastAsia" w:ascii="宋体" w:hAnsi="宋体" w:eastAsia="宋体" w:cs="宋体"/>
      <w:color w:val="000000"/>
      <w:sz w:val="22"/>
      <w:szCs w:val="22"/>
      <w:u w:val="none"/>
    </w:rPr>
  </w:style>
  <w:style w:type="character" w:customStyle="1" w:styleId="34">
    <w:name w:val="font21"/>
    <w:qFormat/>
    <w:uiPriority w:val="0"/>
    <w:rPr>
      <w:rFonts w:hint="eastAsia" w:ascii="仿宋" w:hAnsi="仿宋" w:eastAsia="仿宋" w:cs="仿宋"/>
      <w:color w:val="000000"/>
      <w:sz w:val="20"/>
      <w:szCs w:val="20"/>
      <w:u w:val="none"/>
    </w:rPr>
  </w:style>
  <w:style w:type="character" w:customStyle="1" w:styleId="35">
    <w:name w:val="font71"/>
    <w:qFormat/>
    <w:uiPriority w:val="0"/>
    <w:rPr>
      <w:rFonts w:ascii="宋体" w:hAnsi="宋体" w:eastAsia="宋体" w:cs="宋体"/>
      <w:color w:val="000000"/>
      <w:sz w:val="14"/>
      <w:szCs w:val="14"/>
      <w:u w:val="none"/>
    </w:rPr>
  </w:style>
  <w:style w:type="character" w:customStyle="1" w:styleId="36">
    <w:name w:val="font81"/>
    <w:qFormat/>
    <w:uiPriority w:val="0"/>
    <w:rPr>
      <w:rFonts w:ascii="宋体" w:hAnsi="宋体" w:eastAsia="宋体" w:cs="宋体"/>
      <w:color w:val="000000"/>
      <w:sz w:val="16"/>
      <w:szCs w:val="16"/>
      <w:u w:val="none"/>
    </w:rPr>
  </w:style>
  <w:style w:type="character" w:customStyle="1" w:styleId="37">
    <w:name w:val="font91"/>
    <w:qFormat/>
    <w:uiPriority w:val="0"/>
    <w:rPr>
      <w:rFonts w:hint="default" w:ascii="Times New Roman" w:hAnsi="Times New Roman" w:cs="Times New Roman"/>
      <w:color w:val="000000"/>
      <w:sz w:val="14"/>
      <w:szCs w:val="14"/>
      <w:u w:val="none"/>
    </w:rPr>
  </w:style>
  <w:style w:type="character" w:customStyle="1" w:styleId="38">
    <w:name w:val="font101"/>
    <w:qFormat/>
    <w:uiPriority w:val="0"/>
    <w:rPr>
      <w:rFonts w:hint="default" w:ascii="Times New Roman" w:hAnsi="Times New Roman" w:cs="Times New Roman"/>
      <w:color w:val="000000"/>
      <w:sz w:val="8"/>
      <w:szCs w:val="8"/>
      <w:u w:val="none"/>
    </w:rPr>
  </w:style>
  <w:style w:type="character" w:customStyle="1" w:styleId="39">
    <w:name w:val="font41"/>
    <w:qFormat/>
    <w:uiPriority w:val="0"/>
    <w:rPr>
      <w:rFonts w:ascii="宋体" w:hAnsi="宋体" w:eastAsia="宋体" w:cs="宋体"/>
      <w:color w:val="000000"/>
      <w:sz w:val="16"/>
      <w:szCs w:val="16"/>
      <w:u w:val="none"/>
    </w:rPr>
  </w:style>
  <w:style w:type="character" w:customStyle="1" w:styleId="40">
    <w:name w:val="font11"/>
    <w:basedOn w:val="1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18</Pages>
  <Words>6475</Words>
  <Characters>6729</Characters>
  <Lines>49</Lines>
  <Paragraphs>13</Paragraphs>
  <TotalTime>366</TotalTime>
  <ScaleCrop>false</ScaleCrop>
  <LinksUpToDate>false</LinksUpToDate>
  <CharactersWithSpaces>7579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2024-06-24T08:18:28Z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22EC403ADA854AC3A6502CCA0D99560C_13</vt:lpwstr>
  </property>
</Properties>
</file>