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highlight w:val="none"/>
          <w:lang w:val="zh-CN"/>
        </w:rPr>
      </w:pPr>
      <w:bookmarkStart w:id="0" w:name="OLE_LINK1"/>
      <w:bookmarkStart w:id="1" w:name="OLE_LINK2"/>
      <w:r>
        <w:rPr>
          <w:rFonts w:hint="eastAsia" w:ascii="方正小标宋简体" w:hAnsi="宋体" w:eastAsia="方正小标宋简体" w:cs="宋体"/>
          <w:bCs/>
          <w:sz w:val="24"/>
          <w:szCs w:val="24"/>
          <w:highlight w:val="none"/>
          <w:lang w:val="zh-CN"/>
        </w:rPr>
        <w:t>海安裕海贸易有限公司</w:t>
      </w:r>
    </w:p>
    <w:p>
      <w:pPr>
        <w:autoSpaceDE w:val="0"/>
        <w:autoSpaceDN w:val="0"/>
        <w:adjustRightInd w:val="0"/>
        <w:snapToGrid w:val="0"/>
        <w:spacing w:line="300" w:lineRule="auto"/>
        <w:jc w:val="center"/>
        <w:outlineLvl w:val="0"/>
        <w:rPr>
          <w:rFonts w:ascii="方正小标宋简体" w:hAnsi="宋体" w:eastAsia="方正小标宋简体" w:cs="宋体"/>
          <w:bCs/>
          <w:sz w:val="24"/>
          <w:szCs w:val="24"/>
          <w:highlight w:val="none"/>
          <w:lang w:val="zh-CN"/>
        </w:rPr>
      </w:pPr>
      <w:r>
        <w:rPr>
          <w:rFonts w:hint="eastAsia" w:ascii="方正小标宋简体" w:hAnsi="宋体" w:eastAsia="方正小标宋简体" w:cs="宋体"/>
          <w:bCs/>
          <w:sz w:val="24"/>
          <w:szCs w:val="24"/>
          <w:highlight w:val="none"/>
          <w:lang w:val="zh-CN"/>
        </w:rPr>
        <w:t>电磁流量计及电控阀门等设备项目</w:t>
      </w:r>
    </w:p>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highlight w:val="none"/>
          <w:lang w:val="zh-CN"/>
        </w:rPr>
      </w:pPr>
      <w:r>
        <w:rPr>
          <w:rFonts w:hint="eastAsia" w:ascii="方正小标宋简体" w:hAnsi="宋体" w:eastAsia="方正小标宋简体" w:cs="宋体"/>
          <w:bCs/>
          <w:sz w:val="24"/>
          <w:szCs w:val="24"/>
          <w:highlight w:val="none"/>
          <w:lang w:val="zh-CN"/>
        </w:rPr>
        <w:t>采购公告（</w:t>
      </w:r>
      <w:r>
        <w:rPr>
          <w:rFonts w:hint="eastAsia" w:ascii="方正小标宋简体" w:hAnsi="宋体" w:eastAsia="方正小标宋简体" w:cs="宋体"/>
          <w:bCs/>
          <w:sz w:val="24"/>
          <w:szCs w:val="24"/>
          <w:highlight w:val="none"/>
          <w:lang w:val="en-US" w:eastAsia="zh-CN"/>
        </w:rPr>
        <w:t>二次</w:t>
      </w:r>
      <w:r>
        <w:rPr>
          <w:rFonts w:hint="eastAsia" w:ascii="方正小标宋简体" w:hAnsi="宋体" w:eastAsia="方正小标宋简体" w:cs="宋体"/>
          <w:bCs/>
          <w:sz w:val="24"/>
          <w:szCs w:val="24"/>
          <w:highlight w:val="none"/>
          <w:lang w:val="zh-CN"/>
        </w:rPr>
        <w:t>）</w:t>
      </w:r>
      <w:r>
        <w:rPr>
          <w:rFonts w:hint="eastAsia" w:ascii="方正小标宋简体" w:hAnsi="宋体" w:eastAsia="方正小标宋简体" w:cs="宋体"/>
          <w:bCs/>
          <w:color w:val="FF0000"/>
          <w:sz w:val="24"/>
          <w:szCs w:val="24"/>
          <w:highlight w:val="none"/>
          <w:lang w:val="zh-CN"/>
        </w:rPr>
        <w:t xml:space="preserve"> </w:t>
      </w:r>
    </w:p>
    <w:p>
      <w:pPr>
        <w:widowControl/>
        <w:shd w:val="clear" w:color="auto" w:fill="FFFFFF"/>
        <w:spacing w:line="420" w:lineRule="exact"/>
        <w:ind w:firstLine="50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项目概况</w:t>
      </w:r>
    </w:p>
    <w:p>
      <w:pPr>
        <w:widowControl/>
        <w:shd w:val="clear" w:color="auto" w:fill="FFFFFF"/>
        <w:spacing w:line="420" w:lineRule="exact"/>
        <w:ind w:firstLine="505"/>
        <w:rPr>
          <w:rFonts w:hint="eastAsia" w:ascii="宋体" w:hAnsi="宋体" w:cs="宋体"/>
          <w:color w:val="333333"/>
          <w:spacing w:val="7"/>
          <w:kern w:val="0"/>
          <w:sz w:val="24"/>
          <w:szCs w:val="24"/>
          <w:highlight w:val="none"/>
          <w:u w:val="single"/>
        </w:rPr>
      </w:pPr>
      <w:r>
        <w:rPr>
          <w:rFonts w:hint="eastAsia" w:ascii="宋体" w:hAnsi="宋体" w:cs="宋体"/>
          <w:color w:val="333333"/>
          <w:spacing w:val="7"/>
          <w:kern w:val="0"/>
          <w:sz w:val="24"/>
          <w:szCs w:val="24"/>
          <w:highlight w:val="none"/>
        </w:rPr>
        <w:t>海安裕海贸易有限公司电磁流量计及电控阀门等设备</w:t>
      </w:r>
      <w:r>
        <w:rPr>
          <w:rFonts w:hint="eastAsia" w:ascii="宋体" w:hAnsi="宋体" w:cs="宋体"/>
          <w:color w:val="333333"/>
          <w:spacing w:val="7"/>
          <w:kern w:val="0"/>
          <w:sz w:val="24"/>
          <w:szCs w:val="24"/>
          <w:highlight w:val="none"/>
          <w:lang w:val="en-US" w:eastAsia="zh-CN"/>
        </w:rPr>
        <w:t>采购</w:t>
      </w:r>
      <w:r>
        <w:rPr>
          <w:rFonts w:hint="eastAsia" w:ascii="宋体" w:hAnsi="宋体" w:cs="宋体"/>
          <w:color w:val="333333"/>
          <w:spacing w:val="7"/>
          <w:kern w:val="0"/>
          <w:sz w:val="24"/>
          <w:szCs w:val="24"/>
          <w:highlight w:val="none"/>
        </w:rPr>
        <w:t>项目的潜在供应商应在海安市城建开发投资集团有限公司及子公司网站获取采购文件，并于</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年</w:t>
      </w:r>
      <w:r>
        <w:rPr>
          <w:rFonts w:hint="eastAsia" w:ascii="宋体" w:hAnsi="宋体" w:cs="宋体"/>
          <w:sz w:val="24"/>
          <w:szCs w:val="24"/>
          <w:highlight w:val="none"/>
          <w:u w:val="single"/>
          <w:lang w:val="en-US" w:eastAsia="zh-CN"/>
        </w:rPr>
        <w:t>06</w:t>
      </w:r>
      <w:r>
        <w:rPr>
          <w:rFonts w:hint="eastAsia" w:ascii="宋体" w:hAnsi="宋体" w:cs="宋体"/>
          <w:sz w:val="24"/>
          <w:szCs w:val="24"/>
          <w:highlight w:val="none"/>
          <w:u w:val="single"/>
        </w:rPr>
        <w:t>月</w:t>
      </w:r>
      <w:r>
        <w:rPr>
          <w:rFonts w:hint="eastAsia" w:ascii="宋体" w:hAnsi="宋体" w:cs="宋体"/>
          <w:sz w:val="24"/>
          <w:szCs w:val="24"/>
          <w:highlight w:val="none"/>
          <w:u w:val="single"/>
          <w:lang w:val="en-US" w:eastAsia="zh-CN"/>
        </w:rPr>
        <w:t>11</w:t>
      </w:r>
      <w:r>
        <w:rPr>
          <w:rFonts w:hint="eastAsia" w:ascii="宋体" w:hAnsi="宋体" w:cs="宋体"/>
          <w:sz w:val="24"/>
          <w:szCs w:val="24"/>
          <w:highlight w:val="none"/>
          <w:u w:val="single"/>
        </w:rPr>
        <w:t>日</w:t>
      </w:r>
      <w:r>
        <w:rPr>
          <w:rFonts w:hint="eastAsia" w:ascii="宋体" w:hAnsi="宋体" w:cs="宋体"/>
          <w:sz w:val="24"/>
          <w:szCs w:val="24"/>
          <w:highlight w:val="none"/>
          <w:u w:val="single"/>
          <w:lang w:val="en-US" w:eastAsia="zh-CN"/>
        </w:rPr>
        <w:t>14：30</w:t>
      </w:r>
      <w:r>
        <w:rPr>
          <w:rFonts w:hint="eastAsia" w:ascii="宋体" w:hAnsi="宋体" w:cs="宋体"/>
          <w:color w:val="333333"/>
          <w:spacing w:val="7"/>
          <w:kern w:val="0"/>
          <w:sz w:val="24"/>
          <w:szCs w:val="24"/>
          <w:highlight w:val="none"/>
        </w:rPr>
        <w:t>（北京时间）前提交响应文件。</w:t>
      </w:r>
    </w:p>
    <w:p>
      <w:pPr>
        <w:widowControl/>
        <w:shd w:val="clear" w:color="auto" w:fill="FFFFFF"/>
        <w:spacing w:line="420" w:lineRule="exact"/>
        <w:ind w:firstLine="500" w:firstLineChars="196"/>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一、项目基本情况</w:t>
      </w:r>
    </w:p>
    <w:p>
      <w:pPr>
        <w:widowControl/>
        <w:shd w:val="clear" w:color="auto" w:fill="FFFFFF"/>
        <w:spacing w:line="420" w:lineRule="exact"/>
        <w:ind w:firstLine="381" w:firstLineChars="15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项目名称：</w:t>
      </w:r>
      <w:r>
        <w:rPr>
          <w:rFonts w:hint="eastAsia" w:ascii="宋体" w:hAnsi="宋体" w:cs="宋体"/>
          <w:color w:val="FF0000"/>
          <w:spacing w:val="7"/>
          <w:kern w:val="0"/>
          <w:sz w:val="24"/>
          <w:szCs w:val="24"/>
          <w:highlight w:val="none"/>
        </w:rPr>
        <w:t>电磁流量计及电控阀门等设备采购项目</w:t>
      </w:r>
    </w:p>
    <w:p>
      <w:pPr>
        <w:snapToGrid w:val="0"/>
        <w:spacing w:line="420" w:lineRule="exact"/>
        <w:ind w:firstLine="381" w:firstLineChars="15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最高限价：人民币</w:t>
      </w:r>
      <w:r>
        <w:rPr>
          <w:rFonts w:hint="eastAsia" w:ascii="宋体" w:hAnsi="宋体" w:cs="宋体"/>
          <w:b/>
          <w:bCs/>
          <w:color w:val="333333"/>
          <w:spacing w:val="7"/>
          <w:kern w:val="0"/>
          <w:sz w:val="24"/>
          <w:szCs w:val="24"/>
          <w:highlight w:val="none"/>
          <w:u w:val="single"/>
        </w:rPr>
        <w:t>300</w:t>
      </w:r>
      <w:r>
        <w:rPr>
          <w:rFonts w:hint="eastAsia" w:ascii="宋体" w:hAnsi="宋体" w:cs="宋体"/>
          <w:color w:val="333333"/>
          <w:spacing w:val="7"/>
          <w:kern w:val="0"/>
          <w:sz w:val="24"/>
          <w:szCs w:val="24"/>
          <w:highlight w:val="none"/>
        </w:rPr>
        <w:t>万元。本项目采用固定费率方式报价，控制费率为采购设定最高单价限价的100%，各项目的中标价按照最终的中标费率乘以各项目的最高限价确定。（报价包含成本、利润、13%税金等所需所有的费用，应充分考虑市场风险和供货过程中可能发生的费用进行报价。）</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采购需求：详见采购文件。</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合同履行期限：详见采购文件。</w:t>
      </w:r>
    </w:p>
    <w:p>
      <w:pPr>
        <w:widowControl/>
        <w:shd w:val="clear" w:color="auto" w:fill="FFFFFF"/>
        <w:spacing w:line="420" w:lineRule="exact"/>
        <w:ind w:firstLine="497" w:firstLineChars="195"/>
        <w:rPr>
          <w:rFonts w:hint="eastAsia" w:ascii="宋体" w:hAnsi="宋体" w:cs="宋体"/>
          <w:b/>
          <w:spacing w:val="7"/>
          <w:kern w:val="0"/>
          <w:sz w:val="24"/>
          <w:szCs w:val="24"/>
          <w:highlight w:val="none"/>
        </w:rPr>
      </w:pPr>
      <w:r>
        <w:rPr>
          <w:rFonts w:hint="eastAsia" w:ascii="宋体" w:hAnsi="宋体" w:cs="宋体"/>
          <w:b/>
          <w:spacing w:val="7"/>
          <w:kern w:val="0"/>
          <w:sz w:val="24"/>
          <w:szCs w:val="24"/>
          <w:highlight w:val="none"/>
        </w:rPr>
        <w:t>二、供应商的资格要求：</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1.法人或者其他组织的营业执照等证明文件，自然人的身份证明；</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2</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上一年度的财务状况报告承诺函或上一年度财务审计报告（新成立单位提供本年度承诺函，格式自拟）；</w:t>
      </w:r>
    </w:p>
    <w:p>
      <w:pPr>
        <w:widowControl/>
        <w:shd w:val="clear" w:color="auto" w:fill="FFFFFF"/>
        <w:spacing w:line="420" w:lineRule="exact"/>
        <w:ind w:firstLine="420"/>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3</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具有履行合同所必需的设备和专业技术能力（提供承诺函，格式可自拟）；</w:t>
      </w:r>
    </w:p>
    <w:p>
      <w:pPr>
        <w:widowControl/>
        <w:shd w:val="clear" w:color="auto" w:fill="FFFFFF"/>
        <w:spacing w:line="420" w:lineRule="exact"/>
        <w:ind w:firstLine="420"/>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4</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有依法缴纳税收和社会保障资金的良好记录（提供相关证明材料）；</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ascii="宋体" w:hAnsi="宋体" w:cs="宋体"/>
          <w:spacing w:val="7"/>
          <w:kern w:val="0"/>
          <w:sz w:val="24"/>
          <w:szCs w:val="24"/>
          <w:highlight w:val="none"/>
        </w:rPr>
        <w:t>5</w:t>
      </w:r>
      <w:r>
        <w:rPr>
          <w:rFonts w:hint="eastAsia" w:ascii="宋体" w:hAnsi="宋体" w:cs="宋体"/>
          <w:spacing w:val="7"/>
          <w:kern w:val="0"/>
          <w:sz w:val="24"/>
          <w:szCs w:val="24"/>
          <w:highlight w:val="none"/>
        </w:rPr>
        <w:t>.未被“信用中国”网站列入失信被执行人、重大税收违法案件当事人名单、政府采购严重失信行为记录名单（提供承诺函，格式可自拟）；</w:t>
      </w:r>
    </w:p>
    <w:p>
      <w:pPr>
        <w:widowControl/>
        <w:shd w:val="clear" w:color="auto" w:fill="FFFFFF"/>
        <w:spacing w:line="420" w:lineRule="exact"/>
        <w:ind w:firstLine="381" w:firstLineChars="150"/>
        <w:rPr>
          <w:rFonts w:ascii="宋体" w:hAnsi="宋体" w:cs="宋体"/>
          <w:spacing w:val="7"/>
          <w:kern w:val="0"/>
          <w:sz w:val="24"/>
          <w:szCs w:val="24"/>
          <w:highlight w:val="none"/>
        </w:rPr>
      </w:pPr>
      <w:r>
        <w:rPr>
          <w:rFonts w:ascii="宋体" w:hAnsi="宋体" w:cs="宋体"/>
          <w:spacing w:val="7"/>
          <w:kern w:val="0"/>
          <w:sz w:val="24"/>
          <w:szCs w:val="24"/>
          <w:highlight w:val="none"/>
        </w:rPr>
        <w:t>6</w:t>
      </w:r>
      <w:r>
        <w:rPr>
          <w:rFonts w:hint="eastAsia" w:ascii="宋体" w:hAnsi="宋体" w:cs="宋体"/>
          <w:spacing w:val="7"/>
          <w:kern w:val="0"/>
          <w:sz w:val="24"/>
          <w:szCs w:val="24"/>
          <w:highlight w:val="none"/>
        </w:rPr>
        <w:t>.</w:t>
      </w:r>
      <w:r>
        <w:rPr>
          <w:rFonts w:hint="eastAsia" w:ascii="宋体" w:hAnsi="宋体"/>
          <w:szCs w:val="24"/>
          <w:highlight w:val="none"/>
        </w:rPr>
        <w:t xml:space="preserve"> </w:t>
      </w:r>
      <w:r>
        <w:rPr>
          <w:rFonts w:hint="eastAsia" w:ascii="宋体" w:hAnsi="宋体" w:cs="宋体"/>
          <w:spacing w:val="7"/>
          <w:kern w:val="0"/>
          <w:sz w:val="24"/>
          <w:szCs w:val="24"/>
          <w:highlight w:val="none"/>
        </w:rPr>
        <w:t>本项目的特定资格要求：</w:t>
      </w:r>
    </w:p>
    <w:p>
      <w:pPr>
        <w:widowControl/>
        <w:shd w:val="clear" w:color="auto" w:fill="FFFFFF"/>
        <w:spacing w:line="420" w:lineRule="exact"/>
        <w:ind w:firstLine="495" w:firstLineChars="195"/>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1）具有独立法人资格的生产厂家或经销商；</w:t>
      </w:r>
    </w:p>
    <w:p>
      <w:pPr>
        <w:widowControl/>
        <w:shd w:val="clear" w:color="auto" w:fill="FFFFFF"/>
        <w:spacing w:line="420" w:lineRule="exact"/>
        <w:ind w:firstLine="495" w:firstLineChars="195"/>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2）提供</w:t>
      </w:r>
      <w:r>
        <w:rPr>
          <w:rFonts w:hint="eastAsia" w:ascii="宋体" w:hAnsi="宋体" w:cs="宋体"/>
          <w:spacing w:val="7"/>
          <w:kern w:val="0"/>
          <w:sz w:val="24"/>
          <w:szCs w:val="24"/>
          <w:highlight w:val="none"/>
          <w:lang w:val="en-US" w:eastAsia="zh-CN"/>
        </w:rPr>
        <w:t>所报品牌厂家</w:t>
      </w:r>
      <w:r>
        <w:rPr>
          <w:rFonts w:hint="eastAsia" w:ascii="宋体" w:hAnsi="宋体" w:cs="宋体"/>
          <w:spacing w:val="7"/>
          <w:kern w:val="0"/>
          <w:sz w:val="24"/>
          <w:szCs w:val="24"/>
          <w:highlight w:val="none"/>
        </w:rPr>
        <w:t>3份近两年来单项合同金额不少于200万元DN100或以上电磁流量计业绩；</w:t>
      </w:r>
    </w:p>
    <w:p>
      <w:pPr>
        <w:widowControl/>
        <w:shd w:val="clear" w:color="auto" w:fill="FFFFFF"/>
        <w:spacing w:line="420" w:lineRule="exact"/>
        <w:ind w:firstLine="495" w:firstLineChars="195"/>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3）报价人须提供质量承诺书（格式见附件）。</w:t>
      </w:r>
    </w:p>
    <w:p>
      <w:pPr>
        <w:widowControl/>
        <w:shd w:val="clear" w:color="auto" w:fill="FFFFFF"/>
        <w:spacing w:line="420" w:lineRule="exact"/>
        <w:ind w:firstLine="497" w:firstLineChars="195"/>
        <w:rPr>
          <w:rFonts w:hint="eastAsia" w:ascii="宋体" w:hAnsi="宋体" w:cs="宋体"/>
          <w:b/>
          <w:spacing w:val="7"/>
          <w:kern w:val="0"/>
          <w:sz w:val="24"/>
          <w:szCs w:val="24"/>
          <w:highlight w:val="none"/>
        </w:rPr>
      </w:pPr>
      <w:r>
        <w:rPr>
          <w:rFonts w:hint="eastAsia" w:ascii="宋体" w:hAnsi="宋体" w:cs="宋体"/>
          <w:b/>
          <w:spacing w:val="7"/>
          <w:kern w:val="0"/>
          <w:sz w:val="24"/>
          <w:szCs w:val="24"/>
          <w:highlight w:val="none"/>
        </w:rPr>
        <w:t>三、获取采购文件</w:t>
      </w:r>
    </w:p>
    <w:p>
      <w:pPr>
        <w:widowControl/>
        <w:shd w:val="clear" w:color="auto" w:fill="FFFFFF"/>
        <w:spacing w:line="420" w:lineRule="exact"/>
        <w:ind w:firstLine="488"/>
        <w:rPr>
          <w:rFonts w:ascii="宋体" w:hAnsi="宋体" w:cs="宋体"/>
          <w:spacing w:val="7"/>
          <w:kern w:val="0"/>
          <w:sz w:val="24"/>
          <w:szCs w:val="24"/>
          <w:highlight w:val="none"/>
        </w:rPr>
      </w:pPr>
      <w:r>
        <w:rPr>
          <w:rFonts w:hint="eastAsia" w:ascii="宋体" w:hAnsi="宋体" w:cs="宋体"/>
          <w:spacing w:val="7"/>
          <w:kern w:val="0"/>
          <w:sz w:val="24"/>
          <w:szCs w:val="24"/>
          <w:highlight w:val="none"/>
        </w:rPr>
        <w:t>时间：发布之日起至2024年</w:t>
      </w:r>
      <w:r>
        <w:rPr>
          <w:rFonts w:hint="eastAsia" w:ascii="宋体" w:hAnsi="宋体" w:cs="宋体"/>
          <w:spacing w:val="7"/>
          <w:kern w:val="0"/>
          <w:sz w:val="24"/>
          <w:szCs w:val="24"/>
          <w:highlight w:val="none"/>
          <w:lang w:val="en-US" w:eastAsia="zh-CN"/>
        </w:rPr>
        <w:t>06</w:t>
      </w:r>
      <w:r>
        <w:rPr>
          <w:rFonts w:hint="eastAsia" w:ascii="宋体" w:hAnsi="宋体" w:cs="宋体"/>
          <w:spacing w:val="7"/>
          <w:kern w:val="0"/>
          <w:sz w:val="24"/>
          <w:szCs w:val="24"/>
          <w:highlight w:val="none"/>
        </w:rPr>
        <w:t>月</w:t>
      </w:r>
      <w:r>
        <w:rPr>
          <w:rFonts w:hint="eastAsia" w:ascii="宋体" w:hAnsi="宋体" w:cs="宋体"/>
          <w:spacing w:val="7"/>
          <w:kern w:val="0"/>
          <w:sz w:val="24"/>
          <w:szCs w:val="24"/>
          <w:highlight w:val="none"/>
          <w:lang w:val="en-US" w:eastAsia="zh-CN"/>
        </w:rPr>
        <w:t>11</w:t>
      </w:r>
      <w:r>
        <w:rPr>
          <w:rFonts w:hint="eastAsia" w:ascii="宋体" w:hAnsi="宋体" w:cs="宋体"/>
          <w:spacing w:val="7"/>
          <w:kern w:val="0"/>
          <w:sz w:val="24"/>
          <w:szCs w:val="24"/>
          <w:highlight w:val="none"/>
        </w:rPr>
        <w:t>日</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地点：http://www.hacjjt.com/</w:t>
      </w:r>
      <w:r>
        <w:rPr>
          <w:rFonts w:hint="eastAsia" w:ascii="宋体" w:hAnsi="宋体" w:cs="宋体"/>
          <w:spacing w:val="7"/>
          <w:kern w:val="0"/>
          <w:sz w:val="24"/>
          <w:szCs w:val="24"/>
          <w:highlight w:val="none"/>
          <w:lang w:val="en-US" w:eastAsia="zh-CN"/>
        </w:rPr>
        <w:t>或</w:t>
      </w:r>
      <w:r>
        <w:rPr>
          <w:rFonts w:hint="eastAsia" w:ascii="宋体" w:hAnsi="宋体" w:cs="宋体"/>
          <w:spacing w:val="7"/>
          <w:kern w:val="0"/>
          <w:sz w:val="24"/>
          <w:szCs w:val="24"/>
          <w:highlight w:val="none"/>
        </w:rPr>
        <w:t>http://www.jshawater.com/</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方式：自行获取</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售价：免费</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spacing w:val="7"/>
          <w:kern w:val="0"/>
          <w:sz w:val="24"/>
          <w:szCs w:val="24"/>
          <w:highlight w:val="none"/>
        </w:rPr>
        <w:t>四、提交响应文件截止时间、采购时间</w:t>
      </w:r>
      <w:r>
        <w:rPr>
          <w:rFonts w:hint="eastAsia" w:ascii="宋体" w:hAnsi="宋体" w:cs="宋体"/>
          <w:b/>
          <w:color w:val="333333"/>
          <w:spacing w:val="7"/>
          <w:kern w:val="0"/>
          <w:sz w:val="24"/>
          <w:szCs w:val="24"/>
          <w:highlight w:val="none"/>
        </w:rPr>
        <w:t>和地点</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截止时间：</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年</w:t>
      </w:r>
      <w:r>
        <w:rPr>
          <w:rFonts w:hint="eastAsia" w:ascii="宋体" w:hAnsi="宋体" w:cs="宋体"/>
          <w:sz w:val="24"/>
          <w:szCs w:val="24"/>
          <w:highlight w:val="none"/>
          <w:u w:val="single"/>
          <w:lang w:val="en-US" w:eastAsia="zh-CN"/>
        </w:rPr>
        <w:t>06</w:t>
      </w:r>
      <w:r>
        <w:rPr>
          <w:rFonts w:hint="eastAsia" w:ascii="宋体" w:hAnsi="宋体" w:cs="宋体"/>
          <w:sz w:val="24"/>
          <w:szCs w:val="24"/>
          <w:highlight w:val="none"/>
          <w:u w:val="single"/>
        </w:rPr>
        <w:t>月</w:t>
      </w:r>
      <w:r>
        <w:rPr>
          <w:rFonts w:hint="eastAsia" w:ascii="宋体" w:hAnsi="宋体" w:cs="宋体"/>
          <w:sz w:val="24"/>
          <w:szCs w:val="24"/>
          <w:highlight w:val="none"/>
          <w:u w:val="single"/>
          <w:lang w:val="en-US" w:eastAsia="zh-CN"/>
        </w:rPr>
        <w:t>11</w:t>
      </w:r>
      <w:r>
        <w:rPr>
          <w:rFonts w:hint="eastAsia" w:ascii="宋体" w:hAnsi="宋体" w:cs="宋体"/>
          <w:sz w:val="24"/>
          <w:szCs w:val="24"/>
          <w:highlight w:val="none"/>
          <w:u w:val="single"/>
        </w:rPr>
        <w:t>日</w:t>
      </w:r>
      <w:r>
        <w:rPr>
          <w:rFonts w:hint="eastAsia" w:ascii="宋体" w:hAnsi="宋体" w:cs="宋体"/>
          <w:sz w:val="24"/>
          <w:szCs w:val="24"/>
          <w:highlight w:val="none"/>
          <w:u w:val="single"/>
          <w:lang w:val="en-US" w:eastAsia="zh-CN"/>
        </w:rPr>
        <w:t>14：30</w:t>
      </w:r>
      <w:r>
        <w:rPr>
          <w:rFonts w:hint="eastAsia" w:ascii="宋体" w:hAnsi="宋体" w:cs="宋体"/>
          <w:color w:val="333333"/>
          <w:spacing w:val="7"/>
          <w:kern w:val="0"/>
          <w:sz w:val="24"/>
          <w:szCs w:val="24"/>
          <w:highlight w:val="none"/>
        </w:rPr>
        <w:t>（北京时间）</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逾时,将拒绝接受报价文件。</w:t>
      </w:r>
    </w:p>
    <w:p>
      <w:pPr>
        <w:spacing w:line="4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地点：海安市东海大道中33</w:t>
      </w:r>
      <w:r>
        <w:rPr>
          <w:rFonts w:ascii="宋体" w:hAnsi="宋体" w:cs="宋体"/>
          <w:sz w:val="24"/>
          <w:szCs w:val="24"/>
          <w:highlight w:val="none"/>
        </w:rPr>
        <w:t>3</w:t>
      </w:r>
      <w:r>
        <w:rPr>
          <w:rFonts w:hint="eastAsia" w:ascii="宋体" w:hAnsi="宋体" w:cs="宋体"/>
          <w:sz w:val="24"/>
          <w:szCs w:val="24"/>
          <w:highlight w:val="none"/>
        </w:rPr>
        <w:t>号</w:t>
      </w:r>
    </w:p>
    <w:p>
      <w:pPr>
        <w:spacing w:line="420" w:lineRule="exact"/>
        <w:ind w:firstLine="480" w:firstLineChars="200"/>
        <w:rPr>
          <w:rFonts w:hint="eastAsia" w:ascii="宋体" w:hAnsi="宋体" w:eastAsia="宋体" w:cs="宋体"/>
          <w:bCs/>
          <w:sz w:val="24"/>
          <w:szCs w:val="24"/>
          <w:highlight w:val="none"/>
          <w:u w:val="single"/>
          <w:lang w:eastAsia="zh-CN"/>
        </w:rPr>
      </w:pPr>
      <w:r>
        <w:rPr>
          <w:rFonts w:hint="eastAsia" w:ascii="宋体" w:hAnsi="宋体" w:cs="宋体"/>
          <w:sz w:val="24"/>
          <w:szCs w:val="24"/>
          <w:highlight w:val="none"/>
        </w:rPr>
        <w:t>海安市城建开发投资集团有限公司 东楼二楼开标室</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203</w:t>
      </w:r>
      <w:r>
        <w:rPr>
          <w:rFonts w:hint="eastAsia" w:ascii="宋体" w:hAnsi="宋体" w:cs="宋体"/>
          <w:sz w:val="24"/>
          <w:szCs w:val="24"/>
          <w:highlight w:val="none"/>
          <w:lang w:eastAsia="zh-CN"/>
        </w:rPr>
        <w:t>）</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五、公告期限</w:t>
      </w:r>
    </w:p>
    <w:p>
      <w:pPr>
        <w:widowControl/>
        <w:shd w:val="clear" w:color="auto" w:fill="FFFFFF"/>
        <w:spacing w:line="420" w:lineRule="exact"/>
        <w:ind w:firstLine="505"/>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自本公告发布之日起</w:t>
      </w:r>
      <w:r>
        <w:rPr>
          <w:rFonts w:ascii="宋体" w:hAnsi="宋体" w:cs="宋体"/>
          <w:color w:val="333333"/>
          <w:spacing w:val="7"/>
          <w:kern w:val="0"/>
          <w:sz w:val="24"/>
          <w:szCs w:val="24"/>
          <w:highlight w:val="none"/>
        </w:rPr>
        <w:t>3</w:t>
      </w:r>
      <w:r>
        <w:rPr>
          <w:rFonts w:hint="eastAsia" w:ascii="宋体" w:hAnsi="宋体" w:cs="宋体"/>
          <w:color w:val="333333"/>
          <w:spacing w:val="7"/>
          <w:kern w:val="0"/>
          <w:sz w:val="24"/>
          <w:szCs w:val="24"/>
          <w:highlight w:val="none"/>
        </w:rPr>
        <w:t>日。</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六、其他补充事宜</w:t>
      </w:r>
    </w:p>
    <w:p>
      <w:pPr>
        <w:snapToGrid w:val="0"/>
        <w:spacing w:line="420" w:lineRule="exact"/>
        <w:ind w:firstLine="508" w:firstLineChars="200"/>
        <w:contextualSpacing/>
        <w:rPr>
          <w:rFonts w:ascii="宋体" w:hAnsi="宋体" w:cs="宋体"/>
          <w:color w:val="333333"/>
          <w:spacing w:val="7"/>
          <w:kern w:val="0"/>
          <w:sz w:val="24"/>
          <w:szCs w:val="24"/>
          <w:highlight w:val="none"/>
          <w:u w:val="single"/>
        </w:rPr>
      </w:pPr>
      <w:r>
        <w:rPr>
          <w:rFonts w:hint="eastAsia" w:ascii="宋体" w:hAnsi="宋体" w:cs="宋体"/>
          <w:color w:val="333333"/>
          <w:spacing w:val="7"/>
          <w:kern w:val="0"/>
          <w:sz w:val="24"/>
          <w:szCs w:val="24"/>
          <w:highlight w:val="none"/>
        </w:rPr>
        <w:t>1、投标保证金：</w:t>
      </w:r>
      <w:r>
        <w:rPr>
          <w:rFonts w:hint="eastAsia" w:ascii="宋体" w:hAnsi="宋体" w:cs="宋体"/>
          <w:color w:val="333333"/>
          <w:spacing w:val="7"/>
          <w:kern w:val="0"/>
          <w:sz w:val="24"/>
          <w:szCs w:val="24"/>
          <w:highlight w:val="none"/>
          <w:u w:val="single"/>
          <w:lang w:val="en-US" w:eastAsia="zh-CN"/>
        </w:rPr>
        <w:t>60000</w:t>
      </w:r>
      <w:r>
        <w:rPr>
          <w:rFonts w:ascii="宋体" w:hAnsi="宋体" w:cs="宋体"/>
          <w:color w:val="333333"/>
          <w:spacing w:val="7"/>
          <w:kern w:val="0"/>
          <w:sz w:val="24"/>
          <w:szCs w:val="24"/>
          <w:highlight w:val="none"/>
          <w:u w:val="single"/>
        </w:rPr>
        <w:t>.00元</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1）投标保证金交至单位：海安裕海贸易有限公司。</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2）投标保证金交纳时间：开标时间前，携带现金至开标现场。</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3）未中标的供应商投标保证金确定成交供应商后当场退还，但不计利息。</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4）下列情况发生时，投标保证金不予退还：获得成交供应商资格后通知签订合同，不及时签订合同将作自动放弃，投标保证金不予退还。</w:t>
      </w:r>
    </w:p>
    <w:p>
      <w:pPr>
        <w:snapToGrid w:val="0"/>
        <w:spacing w:line="420" w:lineRule="exact"/>
        <w:ind w:firstLine="508" w:firstLineChars="200"/>
        <w:contextualSpacing/>
        <w:rPr>
          <w:rFonts w:hint="eastAsia" w:ascii="宋体" w:hAnsi="宋体" w:cs="宋体"/>
          <w:b/>
          <w:bCs/>
          <w:color w:val="333333"/>
          <w:spacing w:val="7"/>
          <w:kern w:val="0"/>
          <w:sz w:val="24"/>
          <w:szCs w:val="24"/>
          <w:highlight w:val="none"/>
        </w:rPr>
      </w:pPr>
      <w:r>
        <w:rPr>
          <w:rFonts w:ascii="宋体" w:hAnsi="宋体" w:cs="宋体"/>
          <w:color w:val="333333"/>
          <w:spacing w:val="7"/>
          <w:kern w:val="0"/>
          <w:sz w:val="24"/>
          <w:szCs w:val="24"/>
          <w:highlight w:val="none"/>
        </w:rPr>
        <w:t>2</w:t>
      </w:r>
      <w:r>
        <w:rPr>
          <w:rFonts w:hint="eastAsia" w:ascii="宋体" w:hAnsi="宋体" w:cs="宋体"/>
          <w:color w:val="333333"/>
          <w:spacing w:val="7"/>
          <w:kern w:val="0"/>
          <w:sz w:val="24"/>
          <w:szCs w:val="24"/>
          <w:highlight w:val="none"/>
        </w:rPr>
        <w:t>、项目演示、样品、答辩等（如有请描述）：</w:t>
      </w:r>
      <w:r>
        <w:rPr>
          <w:rFonts w:hint="eastAsia" w:ascii="宋体" w:hAnsi="宋体" w:cs="宋体"/>
          <w:b/>
          <w:bCs/>
          <w:color w:val="333333"/>
          <w:spacing w:val="7"/>
          <w:kern w:val="0"/>
          <w:sz w:val="24"/>
          <w:szCs w:val="24"/>
          <w:highlight w:val="none"/>
          <w:lang w:val="en-US" w:eastAsia="zh-CN"/>
        </w:rPr>
        <w:t>提供</w:t>
      </w:r>
      <w:r>
        <w:rPr>
          <w:rFonts w:hint="eastAsia" w:ascii="宋体" w:hAnsi="宋体" w:cs="宋体"/>
          <w:b/>
          <w:bCs/>
          <w:color w:val="333333"/>
          <w:spacing w:val="7"/>
          <w:kern w:val="0"/>
          <w:sz w:val="24"/>
          <w:szCs w:val="24"/>
          <w:highlight w:val="none"/>
        </w:rPr>
        <w:t>DN100电磁流量计</w:t>
      </w:r>
      <w:r>
        <w:rPr>
          <w:rFonts w:hint="eastAsia" w:ascii="宋体" w:hAnsi="宋体" w:cs="宋体"/>
          <w:b/>
          <w:bCs/>
          <w:color w:val="333333"/>
          <w:spacing w:val="7"/>
          <w:kern w:val="0"/>
          <w:sz w:val="24"/>
          <w:szCs w:val="24"/>
          <w:highlight w:val="none"/>
          <w:lang w:val="en-US" w:eastAsia="zh-CN"/>
        </w:rPr>
        <w:t>1套</w:t>
      </w:r>
      <w:r>
        <w:rPr>
          <w:rFonts w:hint="eastAsia" w:ascii="宋体" w:hAnsi="宋体" w:cs="宋体"/>
          <w:b/>
          <w:bCs/>
          <w:color w:val="333333"/>
          <w:spacing w:val="7"/>
          <w:kern w:val="0"/>
          <w:sz w:val="24"/>
          <w:szCs w:val="24"/>
          <w:highlight w:val="none"/>
          <w:lang w:eastAsia="zh-CN"/>
        </w:rPr>
        <w:t>（</w:t>
      </w:r>
      <w:r>
        <w:rPr>
          <w:rFonts w:hint="eastAsia" w:ascii="宋体" w:hAnsi="宋体" w:cs="宋体"/>
          <w:b/>
          <w:bCs/>
          <w:color w:val="333333"/>
          <w:spacing w:val="7"/>
          <w:kern w:val="0"/>
          <w:sz w:val="24"/>
          <w:szCs w:val="24"/>
          <w:highlight w:val="none"/>
          <w:lang w:val="en-US" w:eastAsia="zh-CN"/>
        </w:rPr>
        <w:t>含外接部分</w:t>
      </w:r>
      <w:r>
        <w:rPr>
          <w:rFonts w:hint="eastAsia" w:ascii="宋体" w:hAnsi="宋体" w:cs="宋体"/>
          <w:b/>
          <w:bCs/>
          <w:color w:val="333333"/>
          <w:spacing w:val="7"/>
          <w:kern w:val="0"/>
          <w:sz w:val="24"/>
          <w:szCs w:val="24"/>
          <w:highlight w:val="none"/>
          <w:lang w:eastAsia="zh-CN"/>
        </w:rPr>
        <w:t>）</w:t>
      </w:r>
      <w:r>
        <w:rPr>
          <w:rFonts w:hint="eastAsia" w:ascii="宋体" w:hAnsi="宋体" w:cs="宋体"/>
          <w:b/>
          <w:bCs/>
          <w:color w:val="333333"/>
          <w:spacing w:val="7"/>
          <w:kern w:val="0"/>
          <w:sz w:val="24"/>
          <w:szCs w:val="24"/>
          <w:highlight w:val="none"/>
        </w:rPr>
        <w:t>、DN100电磁阀1台</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ascii="宋体" w:hAnsi="宋体" w:cs="宋体"/>
          <w:color w:val="333333"/>
          <w:spacing w:val="7"/>
          <w:kern w:val="0"/>
          <w:sz w:val="24"/>
          <w:szCs w:val="24"/>
          <w:highlight w:val="none"/>
        </w:rPr>
        <w:t>3</w:t>
      </w:r>
      <w:r>
        <w:rPr>
          <w:rFonts w:hint="eastAsia" w:ascii="宋体" w:hAnsi="宋体" w:cs="宋体"/>
          <w:color w:val="333333"/>
          <w:spacing w:val="7"/>
          <w:kern w:val="0"/>
          <w:sz w:val="24"/>
          <w:szCs w:val="24"/>
          <w:highlight w:val="none"/>
        </w:rPr>
        <w:t>、对项目需求部分的询问、质疑由采购人负责答复；对项目采购文件其它部分的询问请向采购文件制作人或采购项目经办人提出。</w:t>
      </w:r>
    </w:p>
    <w:p>
      <w:pPr>
        <w:widowControl/>
        <w:shd w:val="clear" w:color="auto" w:fill="FFFFFF"/>
        <w:spacing w:line="440" w:lineRule="exact"/>
        <w:ind w:firstLine="50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七、凡对本次采购提出询问，请按以下方式联系。</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1.采购人信息</w:t>
      </w:r>
    </w:p>
    <w:bookmarkEnd w:id="0"/>
    <w:bookmarkEnd w:id="1"/>
    <w:p>
      <w:pPr>
        <w:spacing w:line="480" w:lineRule="exact"/>
        <w:ind w:firstLine="508" w:firstLineChars="20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采购人: 海安裕海贸易有限公司</w:t>
      </w:r>
    </w:p>
    <w:p>
      <w:pPr>
        <w:spacing w:line="480" w:lineRule="exact"/>
        <w:ind w:firstLine="508" w:firstLineChars="20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联系人:</w:t>
      </w:r>
      <w:r>
        <w:rPr>
          <w:rFonts w:ascii="宋体" w:hAnsi="宋体" w:cs="宋体"/>
          <w:color w:val="333333"/>
          <w:spacing w:val="7"/>
          <w:kern w:val="0"/>
          <w:sz w:val="24"/>
          <w:szCs w:val="24"/>
          <w:highlight w:val="none"/>
        </w:rPr>
        <w:t xml:space="preserve"> </w:t>
      </w:r>
      <w:r>
        <w:rPr>
          <w:rFonts w:hint="eastAsia" w:ascii="宋体" w:hAnsi="宋体" w:cs="宋体"/>
          <w:color w:val="333333"/>
          <w:spacing w:val="7"/>
          <w:kern w:val="0"/>
          <w:sz w:val="24"/>
          <w:szCs w:val="24"/>
          <w:highlight w:val="none"/>
        </w:rPr>
        <w:t>赵晨</w:t>
      </w:r>
    </w:p>
    <w:p>
      <w:pPr>
        <w:spacing w:line="480" w:lineRule="exact"/>
        <w:ind w:firstLine="508" w:firstLineChars="200"/>
        <w:rPr>
          <w:rFonts w:hint="eastAsia" w:ascii="宋体" w:hAnsi="宋体"/>
          <w:highlight w:val="none"/>
        </w:rPr>
      </w:pPr>
      <w:r>
        <w:rPr>
          <w:rFonts w:hint="eastAsia" w:ascii="宋体" w:hAnsi="宋体" w:cs="宋体"/>
          <w:color w:val="333333"/>
          <w:spacing w:val="7"/>
          <w:kern w:val="0"/>
          <w:sz w:val="24"/>
          <w:szCs w:val="24"/>
          <w:highlight w:val="none"/>
        </w:rPr>
        <w:t>电  话: 18951421688</w:t>
      </w:r>
      <w:r>
        <w:rPr>
          <w:rFonts w:hint="eastAsia" w:ascii="宋体" w:hAnsi="宋体" w:cs="宋体"/>
          <w:sz w:val="24"/>
          <w:szCs w:val="24"/>
          <w:highlight w:val="none"/>
        </w:rPr>
        <w:t xml:space="preserve">                           </w:t>
      </w:r>
    </w:p>
    <w:p>
      <w:pPr>
        <w:tabs>
          <w:tab w:val="left" w:pos="4065"/>
        </w:tabs>
        <w:rPr>
          <w:rFonts w:ascii="宋体" w:hAnsi="宋体"/>
          <w:sz w:val="40"/>
          <w:szCs w:val="31"/>
          <w:highlight w:val="none"/>
        </w:rPr>
        <w:sectPr>
          <w:footerReference r:id="rId3" w:type="default"/>
          <w:pgSz w:w="12240" w:h="15840"/>
          <w:pgMar w:top="1346" w:right="1097" w:bottom="400" w:left="1408" w:header="0" w:footer="0" w:gutter="0"/>
          <w:cols w:space="720" w:num="1"/>
        </w:sectPr>
      </w:pPr>
      <w:r>
        <w:rPr>
          <w:rFonts w:ascii="宋体" w:hAnsi="宋体"/>
          <w:sz w:val="40"/>
          <w:szCs w:val="31"/>
          <w:highlight w:val="none"/>
        </w:rPr>
        <w:tab/>
      </w:r>
    </w:p>
    <w:p>
      <w:pPr>
        <w:spacing w:line="600" w:lineRule="exact"/>
        <w:ind w:firstLine="570"/>
        <w:jc w:val="center"/>
        <w:rPr>
          <w:rFonts w:hint="eastAsia" w:ascii="宋体" w:hAnsi="宋体"/>
          <w:sz w:val="40"/>
          <w:szCs w:val="31"/>
          <w:highlight w:val="none"/>
        </w:rPr>
      </w:pPr>
      <w:r>
        <w:rPr>
          <w:rFonts w:hint="eastAsia" w:ascii="宋体" w:hAnsi="宋体"/>
          <w:sz w:val="40"/>
          <w:szCs w:val="31"/>
          <w:highlight w:val="none"/>
        </w:rPr>
        <w:t>海安裕海贸易有限公司</w:t>
      </w:r>
    </w:p>
    <w:p>
      <w:pPr>
        <w:spacing w:line="600" w:lineRule="exact"/>
        <w:ind w:firstLine="570"/>
        <w:jc w:val="center"/>
        <w:rPr>
          <w:rFonts w:hint="eastAsia" w:ascii="宋体" w:hAnsi="宋体"/>
          <w:sz w:val="36"/>
          <w:szCs w:val="31"/>
          <w:highlight w:val="none"/>
        </w:rPr>
      </w:pPr>
      <w:r>
        <w:rPr>
          <w:rFonts w:hint="eastAsia" w:ascii="宋体" w:hAnsi="宋体"/>
          <w:sz w:val="36"/>
          <w:szCs w:val="31"/>
          <w:highlight w:val="none"/>
          <w:lang w:val="en-US" w:eastAsia="zh-CN"/>
        </w:rPr>
        <w:t>电磁流量计及电控阀门等设备</w:t>
      </w:r>
      <w:r>
        <w:rPr>
          <w:rFonts w:hint="eastAsia" w:ascii="宋体" w:hAnsi="宋体"/>
          <w:sz w:val="36"/>
          <w:szCs w:val="31"/>
          <w:highlight w:val="none"/>
        </w:rPr>
        <w:t>采购文件</w:t>
      </w:r>
    </w:p>
    <w:p>
      <w:pPr>
        <w:spacing w:line="500" w:lineRule="exact"/>
        <w:ind w:firstLine="573"/>
        <w:rPr>
          <w:rFonts w:hint="eastAsia" w:ascii="宋体" w:hAnsi="宋体"/>
          <w:sz w:val="28"/>
          <w:highlight w:val="none"/>
        </w:rPr>
      </w:pPr>
      <w:r>
        <w:rPr>
          <w:rFonts w:hint="eastAsia" w:ascii="宋体" w:hAnsi="宋体"/>
          <w:sz w:val="28"/>
          <w:highlight w:val="none"/>
        </w:rPr>
        <w:t>海安裕海贸易有限公司现对</w:t>
      </w:r>
      <w:r>
        <w:rPr>
          <w:rFonts w:hint="eastAsia" w:ascii="宋体" w:hAnsi="宋体"/>
          <w:sz w:val="28"/>
          <w:highlight w:val="none"/>
          <w:lang w:val="en-US" w:eastAsia="zh-CN"/>
        </w:rPr>
        <w:t>电磁流量计及电控阀门等设备</w:t>
      </w:r>
      <w:r>
        <w:rPr>
          <w:rFonts w:hint="eastAsia" w:ascii="宋体" w:hAnsi="宋体"/>
          <w:sz w:val="28"/>
          <w:highlight w:val="none"/>
        </w:rPr>
        <w:t>采购项目进行采购，现邀请有相关能力的供应商参加报价。</w:t>
      </w:r>
    </w:p>
    <w:p>
      <w:pPr>
        <w:spacing w:line="500" w:lineRule="exact"/>
        <w:ind w:firstLine="573"/>
        <w:rPr>
          <w:rFonts w:hint="eastAsia" w:ascii="宋体" w:hAnsi="宋体"/>
          <w:sz w:val="28"/>
          <w:highlight w:val="none"/>
        </w:rPr>
      </w:pPr>
      <w:r>
        <w:rPr>
          <w:rFonts w:hint="eastAsia" w:ascii="宋体" w:hAnsi="宋体"/>
          <w:sz w:val="28"/>
          <w:highlight w:val="none"/>
        </w:rPr>
        <w:t>一、报价须知:</w:t>
      </w:r>
    </w:p>
    <w:p>
      <w:pPr>
        <w:spacing w:line="500" w:lineRule="exact"/>
        <w:ind w:firstLine="573"/>
        <w:rPr>
          <w:rFonts w:hint="eastAsia" w:ascii="宋体" w:hAnsi="宋体"/>
          <w:sz w:val="28"/>
          <w:highlight w:val="none"/>
        </w:rPr>
      </w:pPr>
      <w:r>
        <w:rPr>
          <w:rFonts w:hint="eastAsia" w:ascii="宋体" w:hAnsi="宋体"/>
          <w:sz w:val="28"/>
          <w:highlight w:val="none"/>
        </w:rPr>
        <w:t>1、报价人资格要求</w:t>
      </w:r>
    </w:p>
    <w:p>
      <w:pPr>
        <w:spacing w:line="500" w:lineRule="exact"/>
        <w:ind w:firstLine="570"/>
        <w:rPr>
          <w:rFonts w:hint="eastAsia" w:ascii="宋体" w:hAnsi="宋体"/>
          <w:sz w:val="28"/>
          <w:highlight w:val="none"/>
        </w:rPr>
      </w:pPr>
      <w:r>
        <w:rPr>
          <w:rFonts w:hint="eastAsia" w:ascii="宋体" w:hAnsi="宋体"/>
          <w:sz w:val="28"/>
          <w:highlight w:val="none"/>
        </w:rPr>
        <w:t>1.</w:t>
      </w:r>
      <w:r>
        <w:rPr>
          <w:rFonts w:ascii="宋体" w:hAnsi="宋体"/>
          <w:sz w:val="28"/>
          <w:highlight w:val="none"/>
        </w:rPr>
        <w:t>1</w:t>
      </w:r>
      <w:r>
        <w:rPr>
          <w:rFonts w:hint="eastAsia" w:ascii="宋体" w:hAnsi="宋体"/>
          <w:sz w:val="28"/>
          <w:highlight w:val="none"/>
        </w:rPr>
        <w:t>法人或者其他组织的营业执照等证明文件，自然人的身份证明；</w:t>
      </w:r>
    </w:p>
    <w:p>
      <w:pPr>
        <w:spacing w:line="500" w:lineRule="exact"/>
        <w:ind w:firstLine="570"/>
        <w:rPr>
          <w:rFonts w:hint="eastAsia" w:ascii="宋体" w:hAnsi="宋体"/>
          <w:sz w:val="28"/>
          <w:highlight w:val="none"/>
        </w:rPr>
      </w:pPr>
      <w:r>
        <w:rPr>
          <w:rFonts w:ascii="宋体" w:hAnsi="宋体"/>
          <w:sz w:val="28"/>
          <w:highlight w:val="none"/>
        </w:rPr>
        <w:t>1.2</w:t>
      </w:r>
      <w:r>
        <w:rPr>
          <w:rFonts w:hint="eastAsia" w:ascii="宋体" w:hAnsi="宋体"/>
          <w:sz w:val="28"/>
          <w:highlight w:val="none"/>
        </w:rPr>
        <w:t>上一年度的财务状况报告承诺函或上一年度财务审计报告（新成立单位提供本年度承诺函，格式自拟）；</w:t>
      </w:r>
    </w:p>
    <w:p>
      <w:pPr>
        <w:spacing w:line="500" w:lineRule="exact"/>
        <w:ind w:firstLine="570"/>
        <w:rPr>
          <w:rFonts w:hint="eastAsia" w:ascii="宋体" w:hAnsi="宋体"/>
          <w:sz w:val="28"/>
          <w:highlight w:val="none"/>
        </w:rPr>
      </w:pPr>
      <w:r>
        <w:rPr>
          <w:rFonts w:ascii="宋体" w:hAnsi="宋体"/>
          <w:sz w:val="28"/>
          <w:highlight w:val="none"/>
        </w:rPr>
        <w:t>1.3</w:t>
      </w:r>
      <w:r>
        <w:rPr>
          <w:rFonts w:hint="eastAsia" w:ascii="宋体" w:hAnsi="宋体"/>
          <w:sz w:val="28"/>
          <w:highlight w:val="none"/>
        </w:rPr>
        <w:t>具有履行合同所必需的设备和专业技术能力（提供承诺函，格式可自拟）；</w:t>
      </w:r>
    </w:p>
    <w:p>
      <w:pPr>
        <w:spacing w:line="500" w:lineRule="exact"/>
        <w:ind w:firstLine="570"/>
        <w:rPr>
          <w:rFonts w:hint="eastAsia" w:ascii="宋体" w:hAnsi="宋体"/>
          <w:sz w:val="28"/>
          <w:highlight w:val="none"/>
        </w:rPr>
      </w:pPr>
      <w:r>
        <w:rPr>
          <w:rFonts w:ascii="宋体" w:hAnsi="宋体"/>
          <w:sz w:val="28"/>
          <w:highlight w:val="none"/>
        </w:rPr>
        <w:t>1.4</w:t>
      </w:r>
      <w:r>
        <w:rPr>
          <w:rFonts w:hint="eastAsia" w:ascii="宋体" w:hAnsi="宋体"/>
          <w:sz w:val="28"/>
          <w:highlight w:val="none"/>
        </w:rPr>
        <w:t>有依法缴纳税收和社会保障资金的良好记录（提供相关证明材料）；</w:t>
      </w:r>
    </w:p>
    <w:p>
      <w:pPr>
        <w:spacing w:line="500" w:lineRule="exact"/>
        <w:ind w:firstLine="570"/>
        <w:rPr>
          <w:rFonts w:hint="eastAsia" w:ascii="宋体" w:hAnsi="宋体"/>
          <w:sz w:val="28"/>
          <w:highlight w:val="none"/>
        </w:rPr>
      </w:pPr>
      <w:r>
        <w:rPr>
          <w:rFonts w:ascii="宋体" w:hAnsi="宋体"/>
          <w:sz w:val="28"/>
          <w:highlight w:val="none"/>
        </w:rPr>
        <w:t>1.5</w:t>
      </w:r>
      <w:r>
        <w:rPr>
          <w:rFonts w:hint="eastAsia" w:ascii="宋体" w:hAnsi="宋体"/>
          <w:sz w:val="28"/>
          <w:highlight w:val="none"/>
        </w:rPr>
        <w:t>未被“信用中国”网站列入失信被执行人、重大税收违法案件当事人名单、政府采购严重失信行为记录名单（提供承诺函，格式可自拟）；</w:t>
      </w:r>
    </w:p>
    <w:p>
      <w:pPr>
        <w:spacing w:line="500" w:lineRule="exact"/>
        <w:ind w:firstLine="570"/>
        <w:rPr>
          <w:rFonts w:hint="eastAsia" w:ascii="宋体" w:hAnsi="宋体"/>
          <w:sz w:val="28"/>
          <w:highlight w:val="none"/>
        </w:rPr>
      </w:pPr>
      <w:r>
        <w:rPr>
          <w:rFonts w:ascii="宋体" w:hAnsi="宋体"/>
          <w:sz w:val="28"/>
          <w:highlight w:val="none"/>
        </w:rPr>
        <w:t>1.6</w:t>
      </w:r>
      <w:r>
        <w:rPr>
          <w:rFonts w:hint="eastAsia" w:ascii="宋体" w:hAnsi="宋体"/>
          <w:sz w:val="28"/>
          <w:highlight w:val="none"/>
        </w:rPr>
        <w:t>本项目的特定资格要求：</w:t>
      </w:r>
    </w:p>
    <w:p>
      <w:pPr>
        <w:spacing w:line="500" w:lineRule="exact"/>
        <w:ind w:firstLine="570"/>
        <w:rPr>
          <w:rFonts w:hint="eastAsia" w:ascii="宋体" w:hAnsi="宋体"/>
          <w:b/>
          <w:sz w:val="28"/>
          <w:highlight w:val="none"/>
        </w:rPr>
      </w:pPr>
      <w:r>
        <w:rPr>
          <w:rFonts w:hint="eastAsia" w:ascii="宋体" w:hAnsi="宋体"/>
          <w:b/>
          <w:sz w:val="28"/>
          <w:highlight w:val="none"/>
        </w:rPr>
        <w:t>1）具有独立法人资格的生产厂家或经销商；</w:t>
      </w:r>
    </w:p>
    <w:p>
      <w:pPr>
        <w:spacing w:line="500" w:lineRule="exact"/>
        <w:ind w:firstLine="570"/>
        <w:rPr>
          <w:rFonts w:hint="eastAsia" w:ascii="宋体" w:hAnsi="宋体"/>
          <w:b/>
          <w:sz w:val="28"/>
          <w:highlight w:val="none"/>
        </w:rPr>
      </w:pPr>
      <w:r>
        <w:rPr>
          <w:rFonts w:hint="eastAsia" w:ascii="宋体" w:hAnsi="宋体"/>
          <w:b/>
          <w:sz w:val="28"/>
          <w:highlight w:val="none"/>
        </w:rPr>
        <w:t>2）提供所报品牌厂家3份近两年来单项合同金额不少于200万元DN100或以上电磁流量计业绩；</w:t>
      </w:r>
    </w:p>
    <w:p>
      <w:pPr>
        <w:spacing w:line="500" w:lineRule="exact"/>
        <w:ind w:firstLine="570"/>
        <w:rPr>
          <w:rFonts w:ascii="宋体" w:hAnsi="宋体"/>
          <w:b/>
          <w:sz w:val="28"/>
          <w:highlight w:val="none"/>
        </w:rPr>
      </w:pPr>
      <w:r>
        <w:rPr>
          <w:rFonts w:hint="eastAsia" w:ascii="宋体" w:hAnsi="宋体"/>
          <w:b/>
          <w:sz w:val="28"/>
          <w:highlight w:val="none"/>
        </w:rPr>
        <w:t>3）报价人须提供质量承诺书（格式见附件）。</w:t>
      </w:r>
    </w:p>
    <w:p>
      <w:pPr>
        <w:spacing w:line="500" w:lineRule="exact"/>
        <w:ind w:firstLine="570"/>
        <w:rPr>
          <w:rFonts w:hint="eastAsia" w:ascii="宋体" w:hAnsi="宋体"/>
          <w:sz w:val="28"/>
          <w:highlight w:val="none"/>
        </w:rPr>
      </w:pPr>
      <w:r>
        <w:rPr>
          <w:rFonts w:hint="eastAsia" w:ascii="宋体" w:hAnsi="宋体"/>
          <w:sz w:val="28"/>
          <w:highlight w:val="none"/>
        </w:rPr>
        <w:t>二、质量技术及相关要求:</w:t>
      </w:r>
    </w:p>
    <w:p>
      <w:pPr>
        <w:spacing w:line="500" w:lineRule="exact"/>
        <w:ind w:firstLine="570"/>
        <w:rPr>
          <w:rFonts w:hint="eastAsia" w:ascii="宋体" w:hAnsi="宋体" w:cs="宋体"/>
          <w:spacing w:val="1"/>
          <w:sz w:val="28"/>
          <w:szCs w:val="24"/>
          <w:highlight w:val="none"/>
        </w:rPr>
      </w:pPr>
      <w:r>
        <w:rPr>
          <w:rFonts w:hint="eastAsia" w:ascii="宋体" w:hAnsi="宋体" w:cs="宋体"/>
          <w:spacing w:val="1"/>
          <w:sz w:val="28"/>
          <w:szCs w:val="24"/>
          <w:highlight w:val="none"/>
          <w:lang w:val="en-US" w:eastAsia="zh-CN"/>
        </w:rPr>
        <w:t>1、</w:t>
      </w:r>
      <w:r>
        <w:rPr>
          <w:rFonts w:hint="eastAsia" w:ascii="宋体" w:hAnsi="宋体" w:cs="宋体"/>
          <w:spacing w:val="1"/>
          <w:sz w:val="28"/>
          <w:szCs w:val="24"/>
          <w:highlight w:val="none"/>
        </w:rPr>
        <w:t>技术标准及参数：</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按现行标准规范执行，若有新标准或规范替代时，则执行有效的新标准或规范。</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1.1 流量计产品技术参数：</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（1）精度及测量范围度：DN200及以下，精度0.5级，测量范围度：5:1；DN200以上，精度0.5级，测量范围度：20:1；</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（2）最大工作压力：1.6MPa；</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（3）测量流体温度：0-80℃；</w:t>
      </w:r>
    </w:p>
    <w:p>
      <w:pPr>
        <w:spacing w:line="500" w:lineRule="exact"/>
        <w:ind w:firstLine="564" w:firstLineChars="200"/>
        <w:rPr>
          <w:rFonts w:hint="eastAsia" w:ascii="宋体" w:hAnsi="宋体" w:cs="宋体"/>
          <w:b/>
          <w:bCs/>
          <w:spacing w:val="1"/>
          <w:sz w:val="28"/>
          <w:szCs w:val="24"/>
          <w:highlight w:val="none"/>
        </w:rPr>
      </w:pPr>
      <w:r>
        <w:rPr>
          <w:rFonts w:hint="eastAsia" w:ascii="宋体" w:hAnsi="宋体" w:cs="宋体"/>
          <w:spacing w:val="1"/>
          <w:sz w:val="28"/>
          <w:szCs w:val="24"/>
          <w:highlight w:val="none"/>
        </w:rPr>
        <w:t>（4）衬底材料：</w:t>
      </w:r>
      <w:r>
        <w:rPr>
          <w:rFonts w:hint="eastAsia" w:ascii="宋体" w:hAnsi="宋体" w:cs="宋体"/>
          <w:b/>
          <w:bCs/>
          <w:spacing w:val="1"/>
          <w:sz w:val="28"/>
          <w:szCs w:val="24"/>
          <w:highlight w:val="none"/>
        </w:rPr>
        <w:t>聚四氟乙烯衬底</w:t>
      </w:r>
    </w:p>
    <w:p>
      <w:pPr>
        <w:spacing w:line="500" w:lineRule="exact"/>
        <w:ind w:firstLine="564" w:firstLineChars="200"/>
        <w:rPr>
          <w:rFonts w:hint="eastAsia" w:ascii="宋体" w:hAnsi="宋体" w:cs="宋体"/>
          <w:b/>
          <w:bCs/>
          <w:spacing w:val="1"/>
          <w:sz w:val="28"/>
          <w:szCs w:val="24"/>
          <w:highlight w:val="none"/>
        </w:rPr>
      </w:pPr>
      <w:r>
        <w:rPr>
          <w:rFonts w:hint="eastAsia" w:ascii="宋体" w:hAnsi="宋体" w:cs="宋体"/>
          <w:spacing w:val="1"/>
          <w:sz w:val="28"/>
          <w:szCs w:val="24"/>
          <w:highlight w:val="none"/>
        </w:rPr>
        <w:t>（5）电极材料：</w:t>
      </w:r>
      <w:r>
        <w:rPr>
          <w:rFonts w:hint="eastAsia" w:ascii="宋体" w:hAnsi="宋体" w:cs="宋体"/>
          <w:b/>
          <w:bCs/>
          <w:spacing w:val="1"/>
          <w:sz w:val="28"/>
          <w:szCs w:val="24"/>
          <w:highlight w:val="none"/>
        </w:rPr>
        <w:t>哈氏合金</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（6）对外接口：4G（预留RS485）；电流4--20mA；</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（7）通讯协议：modbus协议</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（8）供电方式：AC220供电</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（9）防护等级：IP65（表头）+IP68（管体）</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（10）分体式结构</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（11）电磁流量计须具备液晶显示功能</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（12）默认出厂采用移动卡，含六年流量资费</w:t>
      </w:r>
    </w:p>
    <w:p>
      <w:pPr>
        <w:spacing w:line="500" w:lineRule="exact"/>
        <w:ind w:firstLine="566" w:firstLineChars="200"/>
        <w:rPr>
          <w:rFonts w:hint="eastAsia" w:ascii="宋体" w:hAnsi="宋体" w:cs="宋体"/>
          <w:b/>
          <w:bCs/>
          <w:spacing w:val="1"/>
          <w:sz w:val="28"/>
          <w:szCs w:val="24"/>
          <w:highlight w:val="none"/>
        </w:rPr>
      </w:pPr>
      <w:r>
        <w:rPr>
          <w:rFonts w:hint="eastAsia" w:ascii="宋体" w:hAnsi="宋体" w:cs="宋体"/>
          <w:b/>
          <w:bCs/>
          <w:spacing w:val="1"/>
          <w:sz w:val="28"/>
          <w:szCs w:val="24"/>
          <w:highlight w:val="none"/>
        </w:rPr>
        <w:t>供货时提供本次所报产品对应的计量器具型式批准证书及报告（精度及测量范围度满足技术要求）</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1.2 电磁阀按国标行标执行</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性能参数按d941x16q型号执行</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须满足远传控制功能</w:t>
      </w:r>
    </w:p>
    <w:p>
      <w:pPr>
        <w:spacing w:line="500" w:lineRule="exact"/>
        <w:ind w:firstLine="564" w:firstLineChars="200"/>
        <w:rPr>
          <w:rFonts w:hint="eastAsia" w:ascii="宋体" w:hAnsi="宋体" w:eastAsia="宋体" w:cs="宋体"/>
          <w:spacing w:val="1"/>
          <w:sz w:val="28"/>
          <w:szCs w:val="24"/>
          <w:highlight w:val="none"/>
          <w:lang w:val="en-US" w:eastAsia="zh-CN"/>
        </w:rPr>
      </w:pPr>
      <w:r>
        <w:rPr>
          <w:rFonts w:hint="eastAsia" w:ascii="宋体" w:hAnsi="宋体" w:cs="宋体"/>
          <w:spacing w:val="1"/>
          <w:sz w:val="28"/>
          <w:szCs w:val="24"/>
          <w:highlight w:val="none"/>
          <w:lang w:val="en-US" w:eastAsia="zh-CN"/>
        </w:rPr>
        <w:t>安装方式：法兰连接</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 xml:space="preserve">供电方式：AC220供电  输出电压24v   </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1.3 伸缩节按国标行标执行</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1.4 网关机交换机按国标行标执行且满足实际使用和预留接口要求</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1.5 监控按国标行标执行，实时采样，上传4次数据/24h。</w:t>
      </w:r>
    </w:p>
    <w:p>
      <w:pPr>
        <w:spacing w:line="500" w:lineRule="exact"/>
        <w:ind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1.6 其他按清单要求执行。</w:t>
      </w:r>
    </w:p>
    <w:p>
      <w:pPr>
        <w:spacing w:line="500" w:lineRule="exact"/>
        <w:ind w:firstLine="564" w:firstLineChars="200"/>
        <w:rPr>
          <w:rFonts w:hint="eastAsia" w:ascii="宋体" w:hAnsi="宋体" w:eastAsia="宋体" w:cs="宋体"/>
          <w:spacing w:val="1"/>
          <w:sz w:val="28"/>
          <w:szCs w:val="24"/>
          <w:highlight w:val="none"/>
        </w:rPr>
      </w:pPr>
      <w:r>
        <w:rPr>
          <w:rFonts w:hint="eastAsia" w:ascii="宋体" w:hAnsi="宋体" w:eastAsia="宋体" w:cs="宋体"/>
          <w:spacing w:val="1"/>
          <w:sz w:val="28"/>
          <w:szCs w:val="24"/>
          <w:highlight w:val="none"/>
          <w:lang w:val="en-US" w:eastAsia="zh-CN"/>
        </w:rPr>
        <w:t>1.7 系统编程（排污收费系统）技术要求</w:t>
      </w:r>
    </w:p>
    <w:tbl>
      <w:tblPr>
        <w:tblStyle w:val="1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1216"/>
        <w:gridCol w:w="5418"/>
        <w:gridCol w:w="951"/>
        <w:gridCol w:w="93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序号</w:t>
            </w:r>
          </w:p>
        </w:tc>
        <w:tc>
          <w:tcPr>
            <w:tcW w:w="671"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名称</w:t>
            </w:r>
          </w:p>
        </w:tc>
        <w:tc>
          <w:tcPr>
            <w:tcW w:w="29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排污收费系统技术要求</w:t>
            </w:r>
          </w:p>
        </w:tc>
        <w:tc>
          <w:tcPr>
            <w:tcW w:w="52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控制单价</w:t>
            </w:r>
          </w:p>
        </w:tc>
        <w:tc>
          <w:tcPr>
            <w:tcW w:w="51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8"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1</w:t>
            </w:r>
          </w:p>
        </w:tc>
        <w:tc>
          <w:tcPr>
            <w:tcW w:w="671"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总量管理与排污收费系统</w:t>
            </w:r>
          </w:p>
        </w:tc>
        <w:tc>
          <w:tcPr>
            <w:tcW w:w="2990" w:type="pct"/>
            <w:tcBorders>
              <w:tl2br w:val="nil"/>
              <w:tr2bl w:val="nil"/>
            </w:tcBorders>
            <w:noWrap w:val="0"/>
            <w:vAlign w:val="center"/>
          </w:tcPr>
          <w:p>
            <w:pPr>
              <w:pStyle w:val="6"/>
              <w:bidi w:val="0"/>
              <w:rPr>
                <w:rFonts w:hint="eastAsia"/>
                <w:color w:val="auto"/>
                <w:sz w:val="24"/>
                <w:szCs w:val="21"/>
                <w:highlight w:val="none"/>
              </w:rPr>
            </w:pPr>
            <w:r>
              <w:rPr>
                <w:rFonts w:hint="eastAsia"/>
                <w:color w:val="auto"/>
                <w:sz w:val="24"/>
                <w:szCs w:val="21"/>
                <w:highlight w:val="none"/>
              </w:rPr>
              <w:t>运行效率设计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运行效率要求设计：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在目前现有的硬件系统条件下，开发的软件系统应能达到特定的运行速度，系统运行速度较快，能够达到管理数据的浏览、各种处理、查询统计等日常工作的响应要求，且该速度不以依赖特定的硬件能力为前提，以利于整体提高业务处理的工作效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系统运行时，对系统硬件资源的利用率要合理，避免占用过多系统硬件资源或过于频繁的硬盘访问等，以提升整体运行速度.</w:t>
            </w:r>
          </w:p>
          <w:p>
            <w:pPr>
              <w:pStyle w:val="6"/>
              <w:bidi w:val="0"/>
              <w:ind w:left="720" w:hanging="720"/>
              <w:rPr>
                <w:rFonts w:hint="eastAsia"/>
                <w:color w:val="auto"/>
                <w:sz w:val="24"/>
                <w:szCs w:val="21"/>
                <w:highlight w:val="none"/>
              </w:rPr>
            </w:pPr>
            <w:r>
              <w:rPr>
                <w:rFonts w:hint="eastAsia"/>
                <w:color w:val="auto"/>
                <w:sz w:val="24"/>
                <w:szCs w:val="21"/>
                <w:highlight w:val="none"/>
              </w:rPr>
              <w:t>响应速度要求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响应速度要求包括：</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系统对于涉及数据量不大的用户操作可以进行感觉及时的响应，对常规操作要求软件没有明显停滞；</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对超出响应时间要求的响应要求提供进度条或图标等方式来告诉系统使用者需等待的时间；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对网络流量予以事先估计，根据硬件能力限制网络会话的最大数目，保证网络服务质量。</w:t>
            </w:r>
          </w:p>
          <w:p>
            <w:pPr>
              <w:pStyle w:val="6"/>
              <w:bidi w:val="0"/>
              <w:ind w:left="720" w:hanging="720"/>
              <w:rPr>
                <w:rFonts w:hint="eastAsia"/>
                <w:color w:val="auto"/>
                <w:sz w:val="24"/>
                <w:szCs w:val="21"/>
                <w:highlight w:val="none"/>
              </w:rPr>
            </w:pPr>
            <w:r>
              <w:rPr>
                <w:rFonts w:hint="eastAsia"/>
                <w:color w:val="auto"/>
                <w:sz w:val="24"/>
                <w:szCs w:val="21"/>
                <w:highlight w:val="none"/>
              </w:rPr>
              <w:t>容错稳定性要求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系统的稳定性包括正确性和健壮性两个方面：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系统的正确性是指本系统本身无错误，它能在未来的软硬件环境下正确地完成所期望的数据输入、管理、查询、信息处理、信息输出，以及辅助管理等各项功能；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的健壮性是指在不合理的操作（如：命令错误、输入超界数据、所提供的参数不合理等）情况下系统仍能够运行，或自动调节和纠错，或停止运行并提示错误，或做纠错记录并继续运行，或给出错误信息后转到预先规定的错误处理程序处理运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系统软件设计、开发时，要求对各种可能存在的数据或操作输入差错、各个组件之间信息交换会出现的错误等充分估计，并分析和罗列种类和范围。</w:t>
            </w:r>
          </w:p>
          <w:p>
            <w:pPr>
              <w:pStyle w:val="6"/>
              <w:bidi w:val="0"/>
              <w:ind w:left="720" w:hanging="720"/>
              <w:rPr>
                <w:rFonts w:hint="eastAsia"/>
                <w:color w:val="auto"/>
                <w:sz w:val="24"/>
                <w:szCs w:val="21"/>
                <w:highlight w:val="none"/>
              </w:rPr>
            </w:pPr>
            <w:r>
              <w:rPr>
                <w:rFonts w:hint="eastAsia"/>
                <w:color w:val="auto"/>
                <w:sz w:val="24"/>
                <w:szCs w:val="21"/>
                <w:highlight w:val="none"/>
              </w:rPr>
              <w:t>可靠性要求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系统的可靠性是系统优越的重要指标。自身存在很多故障的“多病”软件不仅影响使用，而且会对所建信息系统的基础数据造成无法挽回的损失。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数据库7×24可靠性：数据库保证每周7天，每天24小时正常工作。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系统可靠性：系统软件不存在致命的故障（bug）；采用稳定性高、可用性好的硬件产品，保证系统运行不轻易出现死机。系统提供7×24小时的连续运行，平均年故障时间少于5天，平均故障修复时间少于24小时。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数据可靠性：提供高可靠性的数据备份、恢复和容灾机制，确保系统数据万无一失。</w:t>
            </w:r>
          </w:p>
          <w:p>
            <w:pPr>
              <w:pStyle w:val="6"/>
              <w:bidi w:val="0"/>
              <w:ind w:left="720" w:hanging="720"/>
              <w:rPr>
                <w:rFonts w:hint="eastAsia"/>
                <w:color w:val="auto"/>
                <w:sz w:val="24"/>
                <w:szCs w:val="21"/>
                <w:highlight w:val="none"/>
              </w:rPr>
            </w:pPr>
            <w:r>
              <w:rPr>
                <w:rFonts w:hint="eastAsia"/>
                <w:color w:val="auto"/>
                <w:sz w:val="24"/>
                <w:szCs w:val="21"/>
                <w:highlight w:val="none"/>
              </w:rPr>
              <w:t>系统安全性要求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要防止入侵者利用通讯协议和网络设备存在的一些安全隐患，通过网络实施攻击，保证网络的安全；需要建立安全保障措施，防止硬件故障、自然灾害以及未知病毒感染可能导致的数据破坏和丢失；需要解决横跨多种平台、不同版本、不同种类操作系统的系统安全；需要实行严密的权限控制机制，防止用户越权操作，防范假冒合法用户非法访问等，系统访问权限控制应到模块、表单、字段和角色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同时，在系统建设过程中要逐步完善信息化建设管理机制，建立健全各类管理制度和办法，注重信息安全系统建设，保障建设投资，确保网络、系统和数据的安全。</w:t>
            </w:r>
          </w:p>
          <w:p>
            <w:pPr>
              <w:pStyle w:val="6"/>
              <w:bidi w:val="0"/>
              <w:ind w:left="720" w:hanging="720"/>
              <w:rPr>
                <w:rFonts w:hint="eastAsia"/>
                <w:color w:val="auto"/>
                <w:sz w:val="24"/>
                <w:szCs w:val="24"/>
                <w:highlight w:val="none"/>
              </w:rPr>
            </w:pPr>
            <w:r>
              <w:rPr>
                <w:rFonts w:hint="eastAsia"/>
                <w:color w:val="auto"/>
                <w:sz w:val="24"/>
                <w:szCs w:val="21"/>
                <w:highlight w:val="none"/>
              </w:rPr>
              <w:t>系统扩展性要求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的扩展性又两个层面的要求：一是系统要满足未来业务模块的扩充开发后的自由挂接；二是系统应实现与各相关部门系统的衔接，并提供必要的数据支持。为做到承前启后，系统必须为后续的系统扩展和功能完善预留接口；同时要考虑横向协作的通用数据接口。</w:t>
            </w:r>
          </w:p>
          <w:p>
            <w:pPr>
              <w:pStyle w:val="6"/>
              <w:bidi w:val="0"/>
              <w:ind w:left="720" w:hanging="720"/>
              <w:rPr>
                <w:rFonts w:hint="eastAsia"/>
                <w:color w:val="auto"/>
                <w:sz w:val="24"/>
                <w:szCs w:val="21"/>
                <w:highlight w:val="none"/>
              </w:rPr>
            </w:pPr>
            <w:r>
              <w:rPr>
                <w:rFonts w:hint="eastAsia"/>
                <w:color w:val="auto"/>
                <w:sz w:val="24"/>
                <w:szCs w:val="21"/>
                <w:highlight w:val="none"/>
              </w:rPr>
              <w:t>系统易维护要求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可维护性是指系统在运行过程中能够进行不断的纠正性的、完善性的、适应性的修改。可维护性的好坏取决于系统是否具备详细而完善的文档说明、系统的模块化程度高低、系统软件是否结构简单并易于修改、系统的可测试性好坏等。高成本的维护往往是由低质量的开发造成的，系统要达到可维护性好的目的，必须做好开发的过程管理与文档管理。</w:t>
            </w:r>
          </w:p>
          <w:p>
            <w:pPr>
              <w:pStyle w:val="6"/>
              <w:bidi w:val="0"/>
              <w:ind w:left="720" w:hanging="720"/>
              <w:rPr>
                <w:rFonts w:hint="eastAsia"/>
                <w:color w:val="auto"/>
                <w:sz w:val="24"/>
                <w:szCs w:val="21"/>
                <w:highlight w:val="none"/>
              </w:rPr>
            </w:pPr>
            <w:r>
              <w:rPr>
                <w:rFonts w:hint="eastAsia"/>
                <w:color w:val="auto"/>
                <w:sz w:val="24"/>
                <w:szCs w:val="21"/>
                <w:highlight w:val="none"/>
              </w:rPr>
              <w:t>系统易读性要求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highlight w:val="none"/>
              </w:rPr>
            </w:pPr>
            <w:r>
              <w:rPr>
                <w:rFonts w:hint="eastAsia"/>
                <w:color w:val="auto"/>
                <w:sz w:val="24"/>
                <w:szCs w:val="24"/>
                <w:highlight w:val="none"/>
              </w:rPr>
              <w:t>本系统所有的系统设计文档、源代码、说明书、指南和规划等，都应该使用那些使人们易读、易懂的编码规定，例如注释、编写格式、举例说明等，使用户能够方便地理解系统结构，合理改进系统。</w:t>
            </w:r>
          </w:p>
          <w:p>
            <w:pPr>
              <w:pStyle w:val="5"/>
              <w:tabs>
                <w:tab w:val="left" w:pos="780"/>
              </w:tabs>
              <w:bidi w:val="0"/>
              <w:rPr>
                <w:rFonts w:hint="eastAsia"/>
                <w:color w:val="auto"/>
                <w:sz w:val="24"/>
                <w:szCs w:val="24"/>
                <w:highlight w:val="none"/>
              </w:rPr>
            </w:pPr>
            <w:r>
              <w:rPr>
                <w:rFonts w:hint="eastAsia" w:ascii="宋体" w:hAnsi="宋体" w:eastAsia="宋体" w:cs="宋体"/>
                <w:color w:val="auto"/>
                <w:sz w:val="28"/>
                <w:szCs w:val="28"/>
                <w:highlight w:val="none"/>
              </w:rPr>
              <w:t>功能性要求</w:t>
            </w:r>
            <w:r>
              <w:rPr>
                <w:rFonts w:hint="eastAsia" w:ascii="宋体" w:hAnsi="宋体" w:eastAsia="宋体" w:cs="宋体"/>
                <w:color w:val="auto"/>
                <w:sz w:val="28"/>
                <w:szCs w:val="28"/>
                <w:highlight w:val="none"/>
              </w:rPr>
              <w:tab/>
            </w:r>
          </w:p>
          <w:p>
            <w:pPr>
              <w:pStyle w:val="6"/>
              <w:bidi w:val="0"/>
              <w:ind w:left="720" w:hanging="720"/>
              <w:rPr>
                <w:rFonts w:hint="eastAsia"/>
                <w:color w:val="auto"/>
                <w:sz w:val="24"/>
                <w:szCs w:val="21"/>
                <w:highlight w:val="none"/>
              </w:rPr>
            </w:pPr>
            <w:r>
              <w:rPr>
                <w:rFonts w:hint="eastAsia"/>
                <w:color w:val="auto"/>
                <w:sz w:val="24"/>
                <w:szCs w:val="21"/>
                <w:highlight w:val="none"/>
                <w:lang w:val="en-US" w:eastAsia="zh-CN"/>
              </w:rPr>
              <w:t>排水户总览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lang w:val="en-US" w:eastAsia="zh-CN"/>
              </w:rPr>
              <w:t>以列表与 GIS 地图形式展示排水户的所有数据及分布，点击列表信息或地图标识点，可在地图上实时显示排水许可证与排水户的挂接关系，并查看排水许可证详 细信息</w:t>
            </w: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一企一档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实现企业基础信息管理包括企业基本信息、排水许可、企业排水档案、排水信息、以及安装设备的基本信息等相关企业信息，做到企业信息一企一档。</w:t>
            </w: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 xml:space="preserve">企业数据分析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 xml:space="preserve">系统通过直接对接排污企业排水口的流量计、水质等物联网设备，实现企业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highlight w:val="none"/>
                <w:lang w:val="en-US" w:eastAsia="zh-CN"/>
              </w:rPr>
            </w:pPr>
            <w:r>
              <w:rPr>
                <w:rFonts w:hint="eastAsia"/>
                <w:color w:val="auto"/>
                <w:sz w:val="24"/>
                <w:szCs w:val="24"/>
                <w:highlight w:val="none"/>
                <w:lang w:val="en-US" w:eastAsia="zh-CN"/>
              </w:rPr>
              <w:t xml:space="preserve">排口实时数据的在线监测。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 xml:space="preserve">以实时列表形式展示排污企业的进口、排水传感器的实时数据，统计整个排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highlight w:val="none"/>
                <w:lang w:val="en-US" w:eastAsia="zh-CN"/>
              </w:rPr>
            </w:pPr>
            <w:r>
              <w:rPr>
                <w:rFonts w:hint="eastAsia"/>
                <w:color w:val="auto"/>
                <w:sz w:val="24"/>
                <w:szCs w:val="24"/>
                <w:highlight w:val="none"/>
                <w:lang w:val="en-US" w:eastAsia="zh-CN"/>
              </w:rPr>
              <w:t>污的企业总数、设备数量、在线数量、异常数量等信息，方便用户直观看出整个排污情况。</w:t>
            </w: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综合分析查询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企业信息查询、信息汇总统计、报警信息查询、总量查询管理。</w:t>
            </w: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总量收费管理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highlight w:val="none"/>
              </w:rPr>
            </w:pPr>
            <w:r>
              <w:rPr>
                <w:rFonts w:hint="eastAsia"/>
                <w:color w:val="auto"/>
                <w:sz w:val="24"/>
                <w:szCs w:val="24"/>
                <w:highlight w:val="none"/>
                <w:lang w:val="en-US" w:eastAsia="zh-CN"/>
              </w:rPr>
              <w:t>收费配置管理、实现排污量的预充值管理、排水账单管理、超标因子账单管理。</w:t>
            </w: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 xml:space="preserve">远程控制管理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highlight w:val="none"/>
              </w:rPr>
            </w:pPr>
            <w:r>
              <w:rPr>
                <w:rFonts w:hint="eastAsia"/>
                <w:color w:val="auto"/>
                <w:sz w:val="24"/>
                <w:szCs w:val="24"/>
                <w:highlight w:val="none"/>
                <w:lang w:val="en-US" w:eastAsia="zh-CN"/>
              </w:rPr>
              <w:t>系统需支持管理人员远程实时监测电动阀门的开、关状态；远程开启、关闭阀 门或调节阀门开度，提高管理效率、降低管理成本。</w:t>
            </w: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 xml:space="preserve">设备台账管理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建立完善的数字化设备台帐，实现设备相关基础信息和设备变动管理，包括 （但不限于）设备类型、设备编号、设备名称、位置、型号、基本描述、技术性能、参数、技术协议、状态等</w:t>
            </w:r>
          </w:p>
          <w:p>
            <w:pPr>
              <w:keepNext w:val="0"/>
              <w:keepLines w:val="0"/>
              <w:widowControl/>
              <w:suppressLineNumbers w:val="0"/>
              <w:jc w:val="left"/>
              <w:rPr>
                <w:color w:val="auto"/>
                <w:highlight w:val="none"/>
              </w:rPr>
            </w:pP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 xml:space="preserve">报警模型管理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 xml:space="preserve">根据用户需求配置自定义预警方案：实时数据上下限报警、排水总量余量不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highlight w:val="none"/>
                <w:lang w:val="en-US" w:eastAsia="zh-CN"/>
              </w:rPr>
            </w:pPr>
            <w:r>
              <w:rPr>
                <w:rFonts w:hint="eastAsia"/>
                <w:color w:val="auto"/>
                <w:sz w:val="24"/>
                <w:szCs w:val="24"/>
                <w:highlight w:val="none"/>
                <w:lang w:val="en-US" w:eastAsia="zh-CN"/>
              </w:rPr>
              <w:t>足报警、排水用水水平衡异常报警、排放口水质指标等。配置系统报警、微信报 警、短信报警提示等多种报警提醒。</w:t>
            </w:r>
          </w:p>
          <w:p>
            <w:pPr>
              <w:keepNext w:val="0"/>
              <w:keepLines w:val="0"/>
              <w:widowControl/>
              <w:suppressLineNumbers w:val="0"/>
              <w:jc w:val="left"/>
              <w:rPr>
                <w:color w:val="auto"/>
                <w:highlight w:val="none"/>
              </w:rPr>
            </w:pP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 xml:space="preserve">参数设置管理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通过系统平台，下发指令，进行远程进行频率设定、开停时间设定、等参数 的设置，可减少人员的现场操作，方便灵活管理。其他控制可设置远程开停排水泵、电磁阀等。余量不足关阀、因子超标自动关阀门等。</w:t>
            </w:r>
          </w:p>
          <w:p>
            <w:pPr>
              <w:spacing w:after="0" w:line="240" w:lineRule="auto"/>
              <w:jc w:val="center"/>
              <w:rPr>
                <w:rFonts w:hint="eastAsia" w:ascii="宋体" w:hAnsi="宋体" w:eastAsia="宋体" w:cs="宋体"/>
                <w:color w:val="auto"/>
                <w:sz w:val="24"/>
                <w:szCs w:val="24"/>
                <w:highlight w:val="none"/>
                <w:lang w:val="en-US" w:eastAsia="zh-CN" w:bidi="ar-SA"/>
              </w:rPr>
            </w:pPr>
          </w:p>
        </w:tc>
        <w:tc>
          <w:tcPr>
            <w:tcW w:w="52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c>
          <w:tcPr>
            <w:tcW w:w="51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r>
    </w:tbl>
    <w:p>
      <w:pPr>
        <w:spacing w:line="500" w:lineRule="exact"/>
        <w:ind w:firstLine="570"/>
        <w:rPr>
          <w:rFonts w:ascii="宋体" w:hAnsi="宋体"/>
          <w:sz w:val="28"/>
          <w:highlight w:val="none"/>
        </w:rPr>
      </w:pPr>
      <w:r>
        <w:rPr>
          <w:rFonts w:hint="eastAsia" w:ascii="宋体" w:hAnsi="宋体"/>
          <w:sz w:val="28"/>
          <w:highlight w:val="none"/>
        </w:rPr>
        <w:t>2、其他</w:t>
      </w:r>
    </w:p>
    <w:p>
      <w:pPr>
        <w:spacing w:line="500" w:lineRule="exact"/>
        <w:ind w:firstLine="570"/>
        <w:rPr>
          <w:rFonts w:hint="eastAsia" w:ascii="宋体" w:hAnsi="宋体"/>
          <w:sz w:val="28"/>
          <w:highlight w:val="none"/>
        </w:rPr>
      </w:pPr>
      <w:r>
        <w:rPr>
          <w:rFonts w:hint="eastAsia" w:ascii="宋体" w:hAnsi="宋体"/>
          <w:sz w:val="28"/>
          <w:highlight w:val="none"/>
        </w:rPr>
        <w:t>2</w:t>
      </w:r>
      <w:r>
        <w:rPr>
          <w:rFonts w:ascii="宋体" w:hAnsi="宋体"/>
          <w:sz w:val="28"/>
          <w:highlight w:val="none"/>
        </w:rPr>
        <w:t>.1</w:t>
      </w:r>
      <w:r>
        <w:rPr>
          <w:rFonts w:hint="eastAsia" w:ascii="宋体" w:hAnsi="宋体"/>
          <w:sz w:val="28"/>
          <w:highlight w:val="none"/>
        </w:rPr>
        <w:t>售后服务</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（1）供方在成交后， 如发生质量问题，供方需在第一时间赶到现场并无偿负责解决；</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（2）货送到指定地点，供方标明所供产品规格、数量，现场初验与采购文件不一致一律不予签收；</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 xml:space="preserve">2.2 </w:t>
      </w:r>
      <w:r>
        <w:rPr>
          <w:rFonts w:hint="eastAsia" w:ascii="宋体" w:hAnsi="宋体"/>
          <w:sz w:val="28"/>
          <w:highlight w:val="none"/>
        </w:rPr>
        <w:t>验收方式及要求</w:t>
      </w:r>
    </w:p>
    <w:p>
      <w:pPr>
        <w:spacing w:line="480" w:lineRule="exact"/>
        <w:ind w:firstLine="420" w:firstLineChars="150"/>
        <w:outlineLvl w:val="0"/>
        <w:rPr>
          <w:rFonts w:hint="eastAsia" w:ascii="宋体" w:hAnsi="宋体"/>
          <w:sz w:val="28"/>
          <w:highlight w:val="none"/>
          <w:lang w:val="en-US" w:eastAsia="zh-CN"/>
        </w:rPr>
      </w:pPr>
      <w:r>
        <w:rPr>
          <w:rFonts w:hint="eastAsia" w:ascii="宋体" w:hAnsi="宋体"/>
          <w:sz w:val="28"/>
          <w:highlight w:val="none"/>
          <w:lang w:val="en-US" w:eastAsia="zh-CN"/>
        </w:rPr>
        <w:t>（1）供应商送至采购人指定地点，仅限对货物外观质量如规格、质量、数量进行初验，初验后进行交接签字（签字并不是验收合格的确认）。提供的货物必须是全新正品，质量符合相关行业标准并达到采购文件要求, 供货时须提供该产品的 质量合格的证明材料，否则，采购单位可拒收货物。货到现场，采购人可随机抽检，检测费用由成交供应商支付，送检或使用过程中发现质量问题，采购人终止合同，后果由成交供应商承担。</w:t>
      </w:r>
    </w:p>
    <w:p>
      <w:pPr>
        <w:spacing w:line="480" w:lineRule="exact"/>
        <w:ind w:firstLine="420" w:firstLineChars="150"/>
        <w:outlineLvl w:val="0"/>
        <w:rPr>
          <w:rFonts w:hint="eastAsia" w:ascii="宋体" w:hAnsi="宋体"/>
          <w:sz w:val="28"/>
          <w:highlight w:val="none"/>
          <w:lang w:val="en-US" w:eastAsia="zh-CN"/>
        </w:rPr>
      </w:pPr>
      <w:r>
        <w:rPr>
          <w:rFonts w:hint="eastAsia" w:ascii="宋体" w:hAnsi="宋体"/>
          <w:sz w:val="28"/>
          <w:highlight w:val="none"/>
          <w:lang w:val="en-US" w:eastAsia="zh-CN"/>
        </w:rPr>
        <w:t>（2）成交供应商须保证项目中所使用的材料、提供的设备为优质产品并完全符合国家质量、环保检验标准。验收时采用的检验方法将按照制造厂商生产的产品验收标准和中华人民共和国有关标准以及招标文件规定的技术要求进行验收，必要时邀请相关的专业人员或机构参与验收。因产品质量问题发生争议时，采购方请有权部门鉴定。货物符合质量技术标准的鉴定费由采购方承担，否则鉴定费由供应方承担，同时按合同违约处理（按规定设计要求标准验收），甲方有权退货并追索赔偿。</w:t>
      </w:r>
    </w:p>
    <w:p>
      <w:pPr>
        <w:spacing w:line="480" w:lineRule="exact"/>
        <w:ind w:firstLine="420" w:firstLineChars="150"/>
        <w:outlineLvl w:val="0"/>
        <w:rPr>
          <w:rFonts w:hint="eastAsia" w:ascii="宋体" w:hAnsi="宋体"/>
          <w:sz w:val="28"/>
          <w:highlight w:val="none"/>
          <w:lang w:val="en-US" w:eastAsia="zh-CN"/>
        </w:rPr>
      </w:pPr>
      <w:r>
        <w:rPr>
          <w:rFonts w:hint="eastAsia" w:ascii="宋体" w:hAnsi="宋体"/>
          <w:sz w:val="28"/>
          <w:highlight w:val="none"/>
          <w:lang w:val="en-US" w:eastAsia="zh-CN"/>
        </w:rPr>
        <w:t>（3）所有产品必须保证是原厂正品，一经发现假冒伪劣产品，成交供应商需无条件更换，并承担相应费用。</w:t>
      </w:r>
    </w:p>
    <w:p>
      <w:pPr>
        <w:spacing w:line="480" w:lineRule="exact"/>
        <w:ind w:firstLine="420" w:firstLineChars="150"/>
        <w:outlineLvl w:val="0"/>
        <w:rPr>
          <w:rFonts w:hint="eastAsia" w:ascii="宋体" w:hAnsi="宋体"/>
          <w:sz w:val="28"/>
          <w:highlight w:val="none"/>
          <w:lang w:val="en-US" w:eastAsia="zh-CN"/>
        </w:rPr>
      </w:pPr>
      <w:r>
        <w:rPr>
          <w:rFonts w:hint="eastAsia" w:ascii="宋体" w:hAnsi="宋体"/>
          <w:sz w:val="28"/>
          <w:highlight w:val="none"/>
          <w:lang w:val="en-US" w:eastAsia="zh-CN"/>
        </w:rPr>
        <w:t>4.5 安装调试：</w:t>
      </w:r>
    </w:p>
    <w:p>
      <w:pPr>
        <w:spacing w:line="480" w:lineRule="exact"/>
        <w:ind w:firstLine="420" w:firstLineChars="150"/>
        <w:outlineLvl w:val="0"/>
        <w:rPr>
          <w:rFonts w:hint="eastAsia" w:ascii="宋体" w:hAnsi="宋体"/>
          <w:sz w:val="28"/>
          <w:highlight w:val="none"/>
          <w:lang w:val="en-US" w:eastAsia="zh-CN"/>
        </w:rPr>
      </w:pPr>
      <w:r>
        <w:rPr>
          <w:rFonts w:hint="eastAsia" w:ascii="宋体" w:hAnsi="宋体"/>
          <w:sz w:val="28"/>
          <w:highlight w:val="none"/>
          <w:lang w:val="en-US" w:eastAsia="zh-CN"/>
        </w:rPr>
        <w:t>（1）安装调试过程中的安全措施由成交人自行负责；</w:t>
      </w:r>
    </w:p>
    <w:p>
      <w:pPr>
        <w:spacing w:line="480" w:lineRule="exact"/>
        <w:ind w:firstLine="420" w:firstLineChars="150"/>
        <w:outlineLvl w:val="0"/>
        <w:rPr>
          <w:rFonts w:hint="eastAsia" w:ascii="宋体" w:hAnsi="宋体"/>
          <w:sz w:val="28"/>
          <w:highlight w:val="none"/>
          <w:lang w:val="en-US" w:eastAsia="zh-CN"/>
        </w:rPr>
      </w:pPr>
      <w:r>
        <w:rPr>
          <w:rFonts w:hint="eastAsia" w:ascii="宋体" w:hAnsi="宋体"/>
          <w:sz w:val="28"/>
          <w:highlight w:val="none"/>
          <w:lang w:val="en-US" w:eastAsia="zh-CN"/>
        </w:rPr>
        <w:t>（2）进入安装调试现场人员应配备好安全帽及高空作业防护措施。</w:t>
      </w:r>
    </w:p>
    <w:p>
      <w:pPr>
        <w:spacing w:line="480" w:lineRule="exact"/>
        <w:ind w:firstLine="420" w:firstLineChars="150"/>
        <w:outlineLvl w:val="0"/>
        <w:rPr>
          <w:rFonts w:hint="eastAsia" w:ascii="宋体" w:hAnsi="宋体"/>
          <w:sz w:val="28"/>
          <w:highlight w:val="none"/>
          <w:lang w:val="en-US" w:eastAsia="zh-CN"/>
        </w:rPr>
      </w:pPr>
      <w:r>
        <w:rPr>
          <w:rFonts w:hint="eastAsia" w:ascii="宋体" w:hAnsi="宋体"/>
          <w:sz w:val="28"/>
          <w:highlight w:val="none"/>
          <w:lang w:val="en-US" w:eastAsia="zh-CN"/>
        </w:rPr>
        <w:t>（3）安装调试现场要求保持整洁。</w:t>
      </w:r>
    </w:p>
    <w:p>
      <w:pPr>
        <w:spacing w:line="480" w:lineRule="exact"/>
        <w:ind w:firstLine="420" w:firstLineChars="150"/>
        <w:outlineLvl w:val="0"/>
        <w:rPr>
          <w:rFonts w:hint="eastAsia" w:ascii="宋体" w:hAnsi="宋体"/>
          <w:sz w:val="28"/>
          <w:highlight w:val="none"/>
          <w:lang w:val="en-US" w:eastAsia="zh-CN"/>
        </w:rPr>
      </w:pPr>
      <w:r>
        <w:rPr>
          <w:rFonts w:hint="eastAsia" w:ascii="宋体" w:hAnsi="宋体"/>
          <w:sz w:val="28"/>
          <w:highlight w:val="none"/>
          <w:lang w:val="en-US" w:eastAsia="zh-CN"/>
        </w:rPr>
        <w:t>（4）安装调试包含的所有材料费、设备费、人工费、安装费及设备调试费应在报价中体现。</w:t>
      </w:r>
    </w:p>
    <w:p>
      <w:pPr>
        <w:spacing w:line="480" w:lineRule="exact"/>
        <w:ind w:firstLine="422" w:firstLineChars="150"/>
        <w:outlineLvl w:val="0"/>
        <w:rPr>
          <w:rFonts w:hint="eastAsia" w:ascii="宋体" w:hAnsi="宋体"/>
          <w:sz w:val="28"/>
          <w:highlight w:val="none"/>
          <w:lang w:eastAsia="zh-CN"/>
        </w:rPr>
      </w:pPr>
      <w:r>
        <w:rPr>
          <w:rFonts w:hint="eastAsia" w:ascii="宋体" w:hAnsi="宋体"/>
          <w:b/>
          <w:bCs/>
          <w:sz w:val="28"/>
          <w:highlight w:val="none"/>
          <w:lang w:val="en-US" w:eastAsia="zh-CN"/>
        </w:rPr>
        <w:t>（5）本项目设备需供应商组装并调试至可正常使用（土建、不锈钢箱体进出水外部连接由业主负责），并连接水务平台，后期管件衔接等由实施部门自己安装。</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2.3</w:t>
      </w:r>
      <w:r>
        <w:rPr>
          <w:rFonts w:hint="eastAsia" w:ascii="宋体" w:hAnsi="宋体"/>
          <w:sz w:val="28"/>
          <w:highlight w:val="none"/>
        </w:rPr>
        <w:t>服务期限和交货（服务）地点：</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（1）本项目采购为固定单价采购，最终结算按实计算（实际供应量×成交单价），供货金额达到300万元，合同自行终止</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（2）供货方根据采购方要求供货到采购人指定地点，由供应商承担完成落地交付前相关费用及风险。</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2.4</w:t>
      </w:r>
      <w:r>
        <w:rPr>
          <w:rFonts w:hint="eastAsia" w:ascii="宋体" w:hAnsi="宋体"/>
          <w:sz w:val="28"/>
          <w:highlight w:val="none"/>
        </w:rPr>
        <w:t>标的物所有权的转移及风险责任：</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供应商承担落地交付前（不限于运输、卸货）安全等全部风险及责任（含在途风险）。</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标的物所有权的转移：标的物运至现场，经验收合格，双方交接，并在送货单上签字认可后。</w:t>
      </w:r>
    </w:p>
    <w:p>
      <w:pPr>
        <w:spacing w:line="480" w:lineRule="exact"/>
        <w:ind w:firstLine="420" w:firstLineChars="150"/>
        <w:outlineLvl w:val="0"/>
        <w:rPr>
          <w:rFonts w:hint="eastAsia" w:ascii="宋体" w:hAnsi="宋体"/>
          <w:b w:val="0"/>
          <w:bCs w:val="0"/>
          <w:sz w:val="28"/>
          <w:highlight w:val="none"/>
        </w:rPr>
      </w:pPr>
      <w:r>
        <w:rPr>
          <w:rFonts w:ascii="宋体" w:hAnsi="宋体"/>
          <w:sz w:val="28"/>
          <w:highlight w:val="none"/>
        </w:rPr>
        <w:t>2.5</w:t>
      </w:r>
      <w:r>
        <w:rPr>
          <w:rFonts w:hint="eastAsia" w:ascii="宋体" w:hAnsi="宋体"/>
          <w:sz w:val="28"/>
          <w:highlight w:val="none"/>
        </w:rPr>
        <w:t>质保要求：</w:t>
      </w:r>
      <w:r>
        <w:rPr>
          <w:rFonts w:hint="eastAsia" w:ascii="宋体" w:hAnsi="宋体"/>
          <w:b/>
          <w:bCs/>
          <w:sz w:val="28"/>
          <w:highlight w:val="none"/>
        </w:rPr>
        <w:t>自落地交付并验收合格之日起两年。</w:t>
      </w:r>
      <w:r>
        <w:rPr>
          <w:rFonts w:hint="eastAsia" w:ascii="宋体" w:hAnsi="宋体"/>
          <w:b w:val="0"/>
          <w:bCs w:val="0"/>
          <w:sz w:val="28"/>
          <w:highlight w:val="none"/>
        </w:rPr>
        <w:t>成交人必须为交付的所有货物按照国家的相关法规提供免费保修。</w:t>
      </w:r>
    </w:p>
    <w:p>
      <w:pPr>
        <w:spacing w:line="480" w:lineRule="exact"/>
        <w:ind w:firstLine="420" w:firstLineChars="150"/>
        <w:outlineLvl w:val="0"/>
        <w:rPr>
          <w:rFonts w:hint="eastAsia" w:ascii="宋体" w:hAnsi="宋体"/>
          <w:b w:val="0"/>
          <w:bCs w:val="0"/>
          <w:sz w:val="28"/>
          <w:highlight w:val="none"/>
        </w:rPr>
      </w:pPr>
      <w:r>
        <w:rPr>
          <w:rFonts w:hint="eastAsia" w:ascii="宋体" w:hAnsi="宋体"/>
          <w:b w:val="0"/>
          <w:bCs w:val="0"/>
          <w:sz w:val="28"/>
          <w:highlight w:val="none"/>
        </w:rPr>
        <w:t>质保期内，成交人提供免费保修等三包服务，质保期内维修、更换零配件、维修人工费均免费。货物在质量保证期内发生的任何故障，成交人均应负责免费修复，无法修复的产品或零部件应免费更换。对于非质保范围内损坏的零部件，成交人应保证以不高于在设备生产地购买的一般价格提供给采购人。</w:t>
      </w:r>
    </w:p>
    <w:p>
      <w:pPr>
        <w:spacing w:line="480" w:lineRule="exact"/>
        <w:ind w:firstLine="422" w:firstLineChars="150"/>
        <w:outlineLvl w:val="0"/>
        <w:rPr>
          <w:rFonts w:hint="eastAsia" w:ascii="宋体" w:hAnsi="宋体"/>
          <w:b/>
          <w:bCs/>
          <w:sz w:val="28"/>
          <w:highlight w:val="none"/>
        </w:rPr>
      </w:pPr>
      <w:r>
        <w:rPr>
          <w:rFonts w:hint="eastAsia" w:ascii="宋体" w:hAnsi="宋体"/>
          <w:b/>
          <w:bCs/>
          <w:sz w:val="28"/>
          <w:highlight w:val="none"/>
        </w:rPr>
        <w:t>质保期内提供上门服务，接到报修通知1小时内响应，2小时内应派专业技术人员到达现场并提供免费咨询、维修服务，一般故障4小时内解决问题，如果48小时无法排除故障，则应免费提供同等配置的备用设备以保证用户设备的正常运行。若未能在规定的时间内进行现场响应和解决设备问题的，用户采取一切措施所产生的费用和风险由成交人承担。</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2.6</w:t>
      </w:r>
      <w:r>
        <w:rPr>
          <w:rFonts w:hint="eastAsia" w:ascii="宋体" w:hAnsi="宋体"/>
          <w:sz w:val="28"/>
          <w:highlight w:val="none"/>
        </w:rPr>
        <w:t>其他要求：</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（1）成交人如为经销商，须在成交后签订合同前提供厂家授权书，电磁流量计还须提供厂家相应的计量器具型式批准证书和报告，如无法提供则取消其成交资格。</w:t>
      </w:r>
    </w:p>
    <w:p>
      <w:pPr>
        <w:numPr>
          <w:ilvl w:val="0"/>
          <w:numId w:val="2"/>
        </w:num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采购人不组织现场勘察，报价人报价前自主安排现场勘察过程中产生的交通、安全等所有费用由</w:t>
      </w:r>
      <w:r>
        <w:rPr>
          <w:rFonts w:hint="eastAsia" w:ascii="宋体" w:hAnsi="宋体"/>
          <w:sz w:val="28"/>
          <w:highlight w:val="none"/>
          <w:lang w:val="en-US" w:eastAsia="zh-CN"/>
        </w:rPr>
        <w:t>报价人</w:t>
      </w:r>
      <w:r>
        <w:rPr>
          <w:rFonts w:hint="eastAsia" w:ascii="宋体" w:hAnsi="宋体"/>
          <w:sz w:val="28"/>
          <w:highlight w:val="none"/>
        </w:rPr>
        <w:t>自行负责</w:t>
      </w:r>
      <w:r>
        <w:rPr>
          <w:rFonts w:hint="eastAsia" w:ascii="宋体" w:hAnsi="宋体"/>
          <w:sz w:val="28"/>
          <w:highlight w:val="none"/>
          <w:lang w:eastAsia="zh-CN"/>
        </w:rPr>
        <w:t>。</w:t>
      </w:r>
    </w:p>
    <w:p>
      <w:pPr>
        <w:numPr>
          <w:ilvl w:val="0"/>
          <w:numId w:val="0"/>
        </w:numPr>
        <w:spacing w:line="480" w:lineRule="exact"/>
        <w:ind w:firstLine="420" w:firstLineChars="0"/>
        <w:outlineLvl w:val="0"/>
        <w:rPr>
          <w:rFonts w:hint="eastAsia" w:ascii="宋体" w:hAnsi="宋体"/>
          <w:sz w:val="28"/>
          <w:highlight w:val="none"/>
        </w:rPr>
      </w:pPr>
      <w:r>
        <w:rPr>
          <w:rFonts w:ascii="宋体" w:hAnsi="宋体"/>
          <w:sz w:val="28"/>
          <w:highlight w:val="none"/>
        </w:rPr>
        <w:t>2.7</w:t>
      </w:r>
      <w:r>
        <w:rPr>
          <w:rFonts w:hint="eastAsia" w:ascii="宋体" w:hAnsi="宋体"/>
          <w:sz w:val="28"/>
          <w:highlight w:val="none"/>
        </w:rPr>
        <w:t>交货时间：根据采购人要求供货，供应商必须在采购人发出供货通知后在指定时间（5个工作日）内将货物运至指定地点。成交供应商应能随时确保采购人的需求，因供应商原因缺货而给采购人造成损失，由成交供应商负责无条件赔偿并承担相应的违约责任，且采购人有权终止合同并扣除履约保证金。</w:t>
      </w:r>
    </w:p>
    <w:p>
      <w:pPr>
        <w:numPr>
          <w:ilvl w:val="0"/>
          <w:numId w:val="3"/>
        </w:num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采购清单</w:t>
      </w:r>
    </w:p>
    <w:p>
      <w:pPr>
        <w:widowControl/>
        <w:adjustRightInd w:val="0"/>
        <w:snapToGrid w:val="0"/>
        <w:spacing w:line="440" w:lineRule="exact"/>
        <w:ind w:firstLine="560" w:firstLineChars="200"/>
        <w:jc w:val="center"/>
        <w:rPr>
          <w:rFonts w:hint="eastAsia" w:ascii="宋体" w:hAnsi="宋体" w:eastAsia="宋体" w:cs="宋体"/>
          <w:b/>
          <w:kern w:val="0"/>
          <w:sz w:val="24"/>
          <w:szCs w:val="24"/>
          <w:highlight w:val="none"/>
          <w:lang w:val="zh-CN"/>
        </w:rPr>
      </w:pPr>
      <w:r>
        <w:rPr>
          <w:rFonts w:hint="eastAsia" w:ascii="宋体" w:hAnsi="宋体"/>
          <w:sz w:val="28"/>
          <w:highlight w:val="none"/>
          <w:lang w:val="en-US" w:eastAsia="zh-CN"/>
        </w:rPr>
        <w:t xml:space="preserve">  </w:t>
      </w:r>
      <w:r>
        <w:rPr>
          <w:rFonts w:hint="eastAsia" w:ascii="宋体" w:hAnsi="宋体" w:eastAsia="宋体" w:cs="宋体"/>
          <w:color w:val="0000FF"/>
          <w:sz w:val="24"/>
          <w:szCs w:val="24"/>
          <w:highlight w:val="none"/>
          <w:lang w:val="en-US" w:eastAsia="zh-CN" w:bidi="ar-SA"/>
        </w:rPr>
        <w:t>DN300排污计量控制终端箱清单</w:t>
      </w:r>
    </w:p>
    <w:tbl>
      <w:tblPr>
        <w:tblStyle w:val="1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74"/>
        <w:gridCol w:w="1224"/>
        <w:gridCol w:w="5401"/>
        <w:gridCol w:w="1096"/>
        <w:gridCol w:w="86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0" w:hRule="atLeast"/>
          <w:jc w:val="center"/>
        </w:trPr>
        <w:tc>
          <w:tcPr>
            <w:tcW w:w="268"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序号</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名称</w:t>
            </w:r>
          </w:p>
        </w:tc>
        <w:tc>
          <w:tcPr>
            <w:tcW w:w="298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材质</w:t>
            </w:r>
          </w:p>
        </w:tc>
        <w:tc>
          <w:tcPr>
            <w:tcW w:w="57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控制单价</w:t>
            </w:r>
          </w:p>
        </w:tc>
        <w:tc>
          <w:tcPr>
            <w:tcW w:w="481"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DN300电磁流量计</w:t>
            </w:r>
          </w:p>
        </w:tc>
        <w:tc>
          <w:tcPr>
            <w:tcW w:w="2987"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分体式(详见技术参数)</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19225.71 </w:t>
            </w:r>
          </w:p>
        </w:tc>
        <w:tc>
          <w:tcPr>
            <w:tcW w:w="481"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DN300伸缩节</w:t>
            </w:r>
          </w:p>
        </w:tc>
        <w:tc>
          <w:tcPr>
            <w:tcW w:w="298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材质不锈钢，含304不锈钢法兰</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1044.76 </w:t>
            </w:r>
          </w:p>
        </w:tc>
        <w:tc>
          <w:tcPr>
            <w:tcW w:w="481"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DN300电磁阀</w:t>
            </w:r>
          </w:p>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（法兰蝶阀）</w:t>
            </w:r>
          </w:p>
        </w:tc>
        <w:tc>
          <w:tcPr>
            <w:tcW w:w="298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DN300，乙丙胶不锈钢板，法兰对夹式；</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4597.14 </w:t>
            </w:r>
          </w:p>
        </w:tc>
        <w:tc>
          <w:tcPr>
            <w:tcW w:w="481"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网关及交换机</w:t>
            </w:r>
          </w:p>
        </w:tc>
        <w:tc>
          <w:tcPr>
            <w:tcW w:w="298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无线4G，Modbus设备数据采集转云平台，需与水务平台衔接；</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1002.86 </w:t>
            </w:r>
          </w:p>
        </w:tc>
        <w:tc>
          <w:tcPr>
            <w:tcW w:w="481"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UPS电源</w:t>
            </w:r>
          </w:p>
        </w:tc>
        <w:tc>
          <w:tcPr>
            <w:tcW w:w="298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断电延时2小时；</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7104.76 </w:t>
            </w:r>
          </w:p>
        </w:tc>
        <w:tc>
          <w:tcPr>
            <w:tcW w:w="481"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33"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不锈钢箱体（控制箱）</w:t>
            </w:r>
          </w:p>
        </w:tc>
        <w:tc>
          <w:tcPr>
            <w:tcW w:w="2987"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尺寸1000mm*2000mm*高度（按排污企业排口深度制定，地面以上高度为1500mm），需将流量计、电磁阀、伸缩节补偿器安装进箱体内部，并保留维修空间，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none"/>
                <w:lang w:val="en-US" w:eastAsia="zh-CN"/>
              </w:rPr>
              <w:t>（元器件品牌至少为中高档，成交后供货前需与采购人进行确认）</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5015.24 </w:t>
            </w:r>
          </w:p>
        </w:tc>
        <w:tc>
          <w:tcPr>
            <w:tcW w:w="481"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7</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电源箱</w:t>
            </w:r>
          </w:p>
        </w:tc>
        <w:tc>
          <w:tcPr>
            <w:tcW w:w="2987"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推荐尺寸800mm*1500mm*800mm（长宽高）需将网关、UPS不间断电源安装在箱体内部，并保留维修空间，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none"/>
                <w:lang w:val="en-US" w:eastAsia="zh-CN"/>
              </w:rPr>
              <w:t>（元器件品牌至少为中高档，成交后供货前需与采购人进行确认）</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5182.86 </w:t>
            </w:r>
          </w:p>
        </w:tc>
        <w:tc>
          <w:tcPr>
            <w:tcW w:w="481"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监控（摄像头）</w:t>
            </w:r>
          </w:p>
        </w:tc>
        <w:tc>
          <w:tcPr>
            <w:tcW w:w="298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太阳能双镜头4G版本监控，需将监控界面传至水务平台</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1337.14 </w:t>
            </w:r>
          </w:p>
        </w:tc>
        <w:tc>
          <w:tcPr>
            <w:tcW w:w="481"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系统编程</w:t>
            </w:r>
          </w:p>
        </w:tc>
        <w:tc>
          <w:tcPr>
            <w:tcW w:w="2987"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含手机物联卡，将流量计瞬时流量/累积流量/阀门启停状态/传输至水务平台，并预留排污企业污染在线监控指标传输端口含（PH、COD、氨氮、总磷、总氮等）</w:t>
            </w:r>
            <w:r>
              <w:rPr>
                <w:rFonts w:hint="eastAsia" w:ascii="宋体" w:hAnsi="宋体" w:eastAsia="宋体" w:cs="宋体"/>
                <w:b/>
                <w:bCs/>
                <w:color w:val="auto"/>
                <w:sz w:val="24"/>
                <w:szCs w:val="24"/>
                <w:highlight w:val="none"/>
                <w:lang w:val="en-US" w:eastAsia="zh-CN"/>
              </w:rPr>
              <w:t>，预留端口传输方式为4G或RS485</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5013.33 </w:t>
            </w:r>
          </w:p>
        </w:tc>
        <w:tc>
          <w:tcPr>
            <w:tcW w:w="481"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r>
    </w:tbl>
    <w:p>
      <w:pPr>
        <w:widowControl/>
        <w:adjustRightInd w:val="0"/>
        <w:snapToGrid w:val="0"/>
        <w:spacing w:line="440" w:lineRule="exact"/>
        <w:ind w:firstLine="480" w:firstLineChars="200"/>
        <w:jc w:val="center"/>
        <w:rPr>
          <w:rFonts w:hint="eastAsia" w:ascii="宋体" w:hAnsi="宋体" w:cs="宋体"/>
          <w:b/>
          <w:kern w:val="0"/>
          <w:sz w:val="24"/>
          <w:highlight w:val="none"/>
          <w:lang w:val="zh-CN"/>
        </w:rPr>
      </w:pPr>
      <w:r>
        <w:rPr>
          <w:rFonts w:hint="eastAsia" w:ascii="华文楷体" w:hAnsi="华文楷体" w:eastAsia="华文楷体" w:cs="华文楷体"/>
          <w:color w:val="0000FF"/>
          <w:sz w:val="24"/>
          <w:szCs w:val="24"/>
          <w:highlight w:val="none"/>
          <w:lang w:val="en-US" w:eastAsia="zh-CN" w:bidi="ar-SA"/>
        </w:rPr>
        <w:t>DN200排污计量控制终端箱清单</w:t>
      </w:r>
    </w:p>
    <w:tbl>
      <w:tblPr>
        <w:tblStyle w:val="1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67"/>
        <w:gridCol w:w="1219"/>
        <w:gridCol w:w="5381"/>
        <w:gridCol w:w="1096"/>
        <w:gridCol w:w="8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序号</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名称</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材质</w:t>
            </w:r>
          </w:p>
        </w:tc>
        <w:tc>
          <w:tcPr>
            <w:tcW w:w="57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控制单价</w:t>
            </w:r>
          </w:p>
        </w:tc>
        <w:tc>
          <w:tcPr>
            <w:tcW w:w="5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1</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DN200电磁流量计</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分体式(详见技术参数)</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13048.57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2</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DN200伸缩节</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材质不锈钢，含304不锈钢法兰</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856.19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3</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DN200电磁阀</w:t>
            </w:r>
          </w:p>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（法兰蝶阀）</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DN200，乙丙胶不锈钢板，法兰对夹式；</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3669.52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4</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网关及交换机</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无线4G，Modbus设备数据采集转云平台，需与水务平台衔接；</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979.05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5</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UPS电源</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断电延时2小时；</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6932.38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6</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不锈钢箱体（控制箱）</w:t>
            </w:r>
          </w:p>
        </w:tc>
        <w:tc>
          <w:tcPr>
            <w:tcW w:w="2977"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尺寸1000mm*2000mm*高度（按排污企业排口深度制定，地面以上高度为1500mm），需将流量计、电磁阀、伸缩节补偿器安装进箱体内部，并保留维修空间，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none"/>
                <w:lang w:val="en-US" w:eastAsia="zh-CN"/>
              </w:rPr>
              <w:t>（元器件品牌至少为中高档，成交后供货前需与采购人进行确认）</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4078.10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7</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电源箱</w:t>
            </w:r>
          </w:p>
        </w:tc>
        <w:tc>
          <w:tcPr>
            <w:tcW w:w="2977"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推荐尺寸800mm*1500mm*800mm（长宽高）需将网关、UPS不间断电源安装在箱体内部，并保留维修空间，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none"/>
                <w:lang w:val="en-US" w:eastAsia="zh-CN"/>
              </w:rPr>
              <w:t>（元器件品牌至少为中高档，成交后供货前需与采购人进行确认）</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4240.95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8</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监控</w:t>
            </w:r>
          </w:p>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（摄像头）</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太阳能双镜头4G版本监控，需将监控界面传至水务平台</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1304.76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9</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系统编程</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含手机物联卡，将流量计瞬时流量/累积流量/阀门启停状态/传输至水务平台，并预留排污企业污染在线监控指标传输端口含（PH、COD、氨氮、总磷、总氮等）</w:t>
            </w:r>
            <w:r>
              <w:rPr>
                <w:rFonts w:hint="eastAsia" w:ascii="宋体" w:hAnsi="宋体" w:eastAsia="宋体" w:cs="宋体"/>
                <w:b/>
                <w:bCs/>
                <w:color w:val="auto"/>
                <w:sz w:val="24"/>
                <w:szCs w:val="24"/>
                <w:highlight w:val="none"/>
                <w:lang w:val="en-US" w:eastAsia="zh-CN"/>
              </w:rPr>
              <w:t>，预留端口传输方式为4G或RS485</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4890.48 </w:t>
            </w:r>
          </w:p>
        </w:tc>
        <w:tc>
          <w:tcPr>
            <w:tcW w:w="5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r>
    </w:tbl>
    <w:p>
      <w:pPr>
        <w:widowControl/>
        <w:adjustRightInd w:val="0"/>
        <w:snapToGrid w:val="0"/>
        <w:spacing w:line="440" w:lineRule="exact"/>
        <w:ind w:firstLine="480" w:firstLineChars="200"/>
        <w:jc w:val="center"/>
        <w:rPr>
          <w:rFonts w:hint="eastAsia" w:ascii="华文楷体" w:hAnsi="华文楷体" w:eastAsia="华文楷体" w:cs="华文楷体"/>
          <w:color w:val="0000FF"/>
          <w:sz w:val="24"/>
          <w:szCs w:val="24"/>
          <w:highlight w:val="none"/>
          <w:lang w:val="zh-CN" w:eastAsia="zh-CN" w:bidi="ar-SA"/>
        </w:rPr>
      </w:pPr>
      <w:r>
        <w:rPr>
          <w:rFonts w:hint="eastAsia" w:ascii="华文楷体" w:hAnsi="华文楷体" w:eastAsia="华文楷体" w:cs="华文楷体"/>
          <w:color w:val="0000FF"/>
          <w:sz w:val="24"/>
          <w:szCs w:val="24"/>
          <w:highlight w:val="none"/>
          <w:lang w:val="zh-CN" w:eastAsia="zh-CN" w:bidi="ar-SA"/>
        </w:rPr>
        <w:t>DN100排污计量控制终端箱清单</w:t>
      </w:r>
    </w:p>
    <w:tbl>
      <w:tblPr>
        <w:tblStyle w:val="1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75"/>
        <w:gridCol w:w="1230"/>
        <w:gridCol w:w="5426"/>
        <w:gridCol w:w="1096"/>
        <w:gridCol w:w="8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序号</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名称</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材质</w:t>
            </w:r>
          </w:p>
        </w:tc>
        <w:tc>
          <w:tcPr>
            <w:tcW w:w="581"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控制单价</w:t>
            </w:r>
          </w:p>
        </w:tc>
        <w:tc>
          <w:tcPr>
            <w:tcW w:w="46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1</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DN100电磁流量计</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分体式(详见技术参数)</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10520.95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2</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DN100伸缩节</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材质不锈钢，含304不锈钢法兰</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639.05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3</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DN100电磁阀</w:t>
            </w:r>
          </w:p>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（法兰蝶阀）</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DN100，乙丙胶不锈钢板，法兰对夹式；</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2404.76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4</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网关及交换机</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无线4G，Modbus设备数据采集转云平台，需与水务平台衔接；</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901.90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5</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UPS电源</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bookmarkStart w:id="2" w:name="_GoBack"/>
            <w:bookmarkEnd w:id="2"/>
            <w:r>
              <w:rPr>
                <w:rFonts w:hint="eastAsia" w:ascii="宋体" w:hAnsi="宋体" w:eastAsia="宋体" w:cs="宋体"/>
                <w:color w:val="auto"/>
                <w:sz w:val="24"/>
                <w:szCs w:val="24"/>
                <w:highlight w:val="none"/>
                <w:lang w:val="en-US" w:eastAsia="zh-CN"/>
              </w:rPr>
              <w:t>断电延时2小时；</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4509.52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6</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不锈钢箱体（控制箱）</w:t>
            </w:r>
          </w:p>
        </w:tc>
        <w:tc>
          <w:tcPr>
            <w:tcW w:w="300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尺寸1000mm*2000mm*高度（按排污企业排口深度制定，地面以上高度为1500mm），需将流量计、电磁阀、伸缩节补偿器安装进箱体内部，并保留维修空间，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none"/>
                <w:lang w:val="en-US" w:eastAsia="zh-CN"/>
              </w:rPr>
              <w:t>（元器件品牌至少为中高档，成交后供货前需与采购人进行确认）</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2630.48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7</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电源箱</w:t>
            </w:r>
          </w:p>
        </w:tc>
        <w:tc>
          <w:tcPr>
            <w:tcW w:w="300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推荐尺寸800mm*1500mm*800mm（长宽高）需将网关、UPS不间断电源安装在箱体内部，并保留维修空间，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none"/>
                <w:lang w:val="en-US" w:eastAsia="zh-CN"/>
              </w:rPr>
              <w:t>（元器件品牌至少为中高档，成交后供货前需与采购人进行确认）</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3156.19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8</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监控（摄像头）</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太阳能双镜头4G版本监控，需将监控界面传至水务平台</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1202.86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9</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系统编程</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含手机物联卡，将流量计瞬时流量/累积流量/阀门启停状态/传输至水务平台，并预留排污企业污染在线监控指标传输端口含（PH、COD、氨氮、总磷、总氮等）</w:t>
            </w:r>
            <w:r>
              <w:rPr>
                <w:rFonts w:hint="eastAsia" w:ascii="宋体" w:hAnsi="宋体" w:eastAsia="宋体" w:cs="宋体"/>
                <w:b/>
                <w:bCs/>
                <w:color w:val="auto"/>
                <w:sz w:val="24"/>
                <w:szCs w:val="24"/>
                <w:highlight w:val="none"/>
                <w:lang w:val="en-US" w:eastAsia="zh-CN"/>
              </w:rPr>
              <w:t>，预留端口传输方式为4G或RS485</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4510.48 </w:t>
            </w:r>
          </w:p>
        </w:tc>
        <w:tc>
          <w:tcPr>
            <w:tcW w:w="46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r>
    </w:tbl>
    <w:p>
      <w:pPr>
        <w:widowControl w:val="0"/>
        <w:numPr>
          <w:ilvl w:val="0"/>
          <w:numId w:val="0"/>
        </w:numPr>
        <w:spacing w:line="480" w:lineRule="exact"/>
        <w:jc w:val="both"/>
        <w:outlineLvl w:val="0"/>
        <w:rPr>
          <w:rFonts w:hint="default" w:ascii="宋体" w:hAnsi="宋体" w:eastAsia="宋体"/>
          <w:sz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ascii="宋体" w:hAnsi="宋体"/>
          <w:sz w:val="28"/>
          <w:highlight w:val="none"/>
        </w:rPr>
        <w:t>4</w:t>
      </w:r>
      <w:r>
        <w:rPr>
          <w:rFonts w:hint="eastAsia" w:ascii="宋体" w:hAnsi="宋体"/>
          <w:sz w:val="28"/>
          <w:highlight w:val="none"/>
        </w:rPr>
        <w:t>、付款方式</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sz w:val="28"/>
          <w:highlight w:val="none"/>
        </w:rPr>
      </w:pPr>
      <w:r>
        <w:rPr>
          <w:rFonts w:hint="eastAsia" w:ascii="宋体" w:hAnsi="宋体"/>
          <w:b/>
          <w:sz w:val="28"/>
          <w:highlight w:val="none"/>
        </w:rPr>
        <w:t>以采购人实际采购的种类和数量据实核算，结算价=实际供应的数量×各规格成交单价。成交人必须提供详细的物品销售清单与采购人的收货单，采购人核对无误并经验收合格后，每季度付款一次付至结算价的80%。余款待质保期满后付清。款项由采购单位按相关财务支付规定办理支付手续。</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sz w:val="28"/>
          <w:highlight w:val="none"/>
        </w:rPr>
      </w:pPr>
      <w:r>
        <w:rPr>
          <w:rFonts w:hint="eastAsia" w:ascii="宋体" w:hAnsi="宋体"/>
          <w:b/>
          <w:sz w:val="28"/>
          <w:highlight w:val="none"/>
        </w:rPr>
        <w:t>结算总额达到预算总额的80%时，成交人须主动告知采购人，超过预算总额的费用采购人不予结算。</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5</w:t>
      </w:r>
      <w:r>
        <w:rPr>
          <w:rFonts w:hint="eastAsia" w:ascii="宋体" w:hAnsi="宋体"/>
          <w:sz w:val="28"/>
          <w:highlight w:val="none"/>
        </w:rPr>
        <w:t>、确认成交供应商:</w:t>
      </w:r>
      <w:r>
        <w:rPr>
          <w:rFonts w:hint="eastAsia" w:ascii="宋体" w:hAnsi="宋体"/>
          <w:highlight w:val="none"/>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b/>
          <w:bCs/>
          <w:sz w:val="28"/>
          <w:highlight w:val="none"/>
        </w:rPr>
      </w:pPr>
      <w:r>
        <w:rPr>
          <w:rFonts w:hint="eastAsia" w:ascii="宋体" w:hAnsi="宋体"/>
          <w:sz w:val="28"/>
          <w:highlight w:val="none"/>
        </w:rPr>
        <w:t>1）本次项目采用</w:t>
      </w:r>
      <w:r>
        <w:rPr>
          <w:rFonts w:hint="eastAsia" w:ascii="宋体" w:hAnsi="宋体"/>
          <w:b/>
          <w:bCs/>
          <w:sz w:val="28"/>
          <w:highlight w:val="none"/>
          <w:u w:val="single"/>
        </w:rPr>
        <w:t>综合评定法</w:t>
      </w:r>
      <w:r>
        <w:rPr>
          <w:rFonts w:hint="eastAsia" w:ascii="宋体" w:hAnsi="宋体"/>
          <w:sz w:val="28"/>
          <w:highlight w:val="none"/>
        </w:rPr>
        <w:t>的比选方式，在全部满足采购文件实质性要求前提下，潜在供应商应完全响应采购文件要求，</w:t>
      </w:r>
      <w:r>
        <w:rPr>
          <w:rFonts w:hint="eastAsia" w:ascii="宋体" w:hAnsi="宋体"/>
          <w:b/>
          <w:bCs/>
          <w:sz w:val="28"/>
          <w:highlight w:val="none"/>
        </w:rPr>
        <w:t>报价文件中有效评定总分最高的报价人作为本项目的成交供应商。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rPr>
      </w:pPr>
      <w:r>
        <w:rPr>
          <w:rFonts w:hint="eastAsia" w:ascii="宋体" w:hAnsi="宋体"/>
          <w:sz w:val="28"/>
          <w:highlight w:val="none"/>
        </w:rPr>
        <w:t>2）采购人根据报价和现场评比的情况，有权决定是否一次成交，也不排除重新竞价的可能性。</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宋体" w:hAnsi="宋体" w:eastAsia="宋体"/>
          <w:b w:val="0"/>
          <w:bCs w:val="0"/>
          <w:sz w:val="28"/>
          <w:highlight w:val="none"/>
          <w:lang w:val="en-US" w:eastAsia="zh-CN"/>
        </w:rPr>
      </w:pPr>
      <w:r>
        <w:rPr>
          <w:rFonts w:hint="eastAsia" w:ascii="宋体" w:hAnsi="宋体"/>
          <w:b w:val="0"/>
          <w:bCs w:val="0"/>
          <w:sz w:val="28"/>
          <w:highlight w:val="none"/>
          <w:lang w:val="en-US" w:eastAsia="zh-CN"/>
        </w:rPr>
        <w:t>3</w:t>
      </w:r>
      <w:r>
        <w:rPr>
          <w:rFonts w:hint="eastAsia" w:ascii="宋体" w:hAnsi="宋体"/>
          <w:b w:val="0"/>
          <w:bCs w:val="0"/>
          <w:sz w:val="28"/>
          <w:highlight w:val="none"/>
          <w:lang w:eastAsia="zh-CN"/>
        </w:rPr>
        <w:t>）本次采购公示为二次公示，如参加报价的供应商或实质性响应招标要求的供应商不足三家，将在现场采用其他的采购方式进行采购（采购单位可对采购要求进行修订）或重新进行比选采购。</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b/>
          <w:bCs/>
          <w:sz w:val="28"/>
          <w:highlight w:val="none"/>
        </w:rPr>
      </w:pPr>
      <w:r>
        <w:rPr>
          <w:rFonts w:hint="eastAsia" w:ascii="宋体" w:hAnsi="宋体"/>
          <w:b/>
          <w:bCs/>
          <w:sz w:val="28"/>
          <w:highlight w:val="none"/>
          <w:lang w:val="en-US" w:eastAsia="zh-CN"/>
        </w:rPr>
        <w:t>4</w:t>
      </w:r>
      <w:r>
        <w:rPr>
          <w:rFonts w:hint="eastAsia" w:ascii="宋体" w:hAnsi="宋体"/>
          <w:b/>
          <w:bCs/>
          <w:sz w:val="28"/>
          <w:highlight w:val="none"/>
        </w:rPr>
        <w:t>）本项目报价函为最终报价。</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highlight w:val="none"/>
        </w:rPr>
      </w:pPr>
      <w:r>
        <w:rPr>
          <w:rFonts w:hint="eastAsia" w:ascii="宋体" w:hAnsi="宋体"/>
          <w:b/>
          <w:bCs/>
          <w:sz w:val="28"/>
          <w:highlight w:val="none"/>
          <w:lang w:val="en-US" w:eastAsia="zh-CN"/>
        </w:rPr>
        <w:t>5</w:t>
      </w:r>
      <w:r>
        <w:rPr>
          <w:rFonts w:hint="eastAsia" w:ascii="宋体" w:hAnsi="宋体"/>
          <w:b/>
          <w:bCs/>
          <w:sz w:val="28"/>
          <w:highlight w:val="none"/>
        </w:rPr>
        <w:t>）本项目相关评审费用由成交供应商支付。</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val="0"/>
          <w:sz w:val="28"/>
          <w:szCs w:val="28"/>
          <w:highlight w:val="none"/>
          <w:lang w:eastAsia="zh-CN"/>
        </w:rPr>
      </w:pPr>
      <w:r>
        <w:rPr>
          <w:rFonts w:hint="eastAsia" w:ascii="仿宋" w:hAnsi="仿宋" w:eastAsia="仿宋" w:cs="仿宋"/>
          <w:b/>
          <w:bCs w:val="0"/>
          <w:sz w:val="28"/>
          <w:szCs w:val="28"/>
          <w:highlight w:val="none"/>
          <w:lang w:val="en-US" w:eastAsia="zh-CN"/>
        </w:rPr>
        <w:t>6）</w:t>
      </w:r>
      <w:r>
        <w:rPr>
          <w:rFonts w:hint="eastAsia" w:ascii="仿宋" w:hAnsi="仿宋" w:eastAsia="仿宋" w:cs="仿宋"/>
          <w:b/>
          <w:bCs w:val="0"/>
          <w:sz w:val="28"/>
          <w:szCs w:val="28"/>
          <w:highlight w:val="none"/>
        </w:rPr>
        <w:t>综合评定法</w:t>
      </w:r>
      <w:r>
        <w:rPr>
          <w:rFonts w:hint="eastAsia" w:ascii="仿宋" w:hAnsi="仿宋" w:eastAsia="仿宋" w:cs="仿宋"/>
          <w:b/>
          <w:bCs w:val="0"/>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本项目采用两阶段评审方式。第一阶段开启供应商资格和技术文件，并进行技术评审（</w:t>
      </w:r>
      <w:r>
        <w:rPr>
          <w:rFonts w:hint="eastAsia" w:ascii="仿宋" w:hAnsi="仿宋" w:eastAsia="仿宋" w:cs="仿宋"/>
          <w:bCs/>
          <w:sz w:val="28"/>
          <w:szCs w:val="28"/>
          <w:highlight w:val="none"/>
          <w:lang w:val="en-US" w:eastAsia="zh-CN"/>
        </w:rPr>
        <w:t>技术</w:t>
      </w:r>
      <w:r>
        <w:rPr>
          <w:rFonts w:hint="eastAsia" w:ascii="仿宋" w:hAnsi="仿宋" w:eastAsia="仿宋" w:cs="仿宋"/>
          <w:bCs/>
          <w:sz w:val="28"/>
          <w:szCs w:val="28"/>
          <w:highlight w:val="none"/>
        </w:rPr>
        <w:t>合格分</w:t>
      </w:r>
      <w:r>
        <w:rPr>
          <w:rFonts w:hint="eastAsia" w:ascii="仿宋" w:hAnsi="仿宋" w:eastAsia="仿宋" w:cs="仿宋"/>
          <w:bCs/>
          <w:sz w:val="28"/>
          <w:szCs w:val="28"/>
          <w:highlight w:val="none"/>
          <w:lang w:val="en-US" w:eastAsia="zh-CN"/>
        </w:rPr>
        <w:t>为</w:t>
      </w:r>
      <w:r>
        <w:rPr>
          <w:rFonts w:hint="eastAsia" w:ascii="仿宋" w:hAnsi="仿宋" w:eastAsia="仿宋" w:cs="仿宋"/>
          <w:bCs/>
          <w:sz w:val="28"/>
          <w:szCs w:val="28"/>
          <w:highlight w:val="none"/>
        </w:rPr>
        <w:t xml:space="preserve"> </w:t>
      </w:r>
      <w:r>
        <w:rPr>
          <w:rFonts w:hint="eastAsia" w:ascii="仿宋" w:hAnsi="仿宋" w:eastAsia="仿宋" w:cs="仿宋"/>
          <w:bCs/>
          <w:sz w:val="28"/>
          <w:szCs w:val="28"/>
          <w:highlight w:val="none"/>
          <w:lang w:val="en-US" w:eastAsia="zh-CN"/>
        </w:rPr>
        <w:t>25</w:t>
      </w:r>
      <w:r>
        <w:rPr>
          <w:rFonts w:hint="eastAsia" w:ascii="仿宋" w:hAnsi="仿宋" w:eastAsia="仿宋" w:cs="仿宋"/>
          <w:bCs/>
          <w:sz w:val="28"/>
          <w:szCs w:val="28"/>
          <w:highlight w:val="none"/>
        </w:rPr>
        <w:t xml:space="preserve"> 分）。其中，如报价人不符合资格要求则不进入技术文件评审。</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第二阶段开启所有报价人的商务</w:t>
      </w:r>
      <w:r>
        <w:rPr>
          <w:rFonts w:hint="eastAsia" w:ascii="仿宋" w:hAnsi="仿宋" w:eastAsia="仿宋" w:cs="仿宋"/>
          <w:bCs/>
          <w:sz w:val="28"/>
          <w:szCs w:val="28"/>
          <w:highlight w:val="none"/>
          <w:lang w:val="en-US" w:eastAsia="zh-CN"/>
        </w:rPr>
        <w:t>价格</w:t>
      </w:r>
      <w:r>
        <w:rPr>
          <w:rFonts w:hint="eastAsia" w:ascii="仿宋" w:hAnsi="仿宋" w:eastAsia="仿宋" w:cs="仿宋"/>
          <w:bCs/>
          <w:sz w:val="28"/>
          <w:szCs w:val="28"/>
          <w:highlight w:val="none"/>
        </w:rPr>
        <w:t>标，</w:t>
      </w:r>
      <w:r>
        <w:rPr>
          <w:rFonts w:hint="eastAsia" w:ascii="仿宋" w:hAnsi="仿宋" w:eastAsia="仿宋" w:cs="仿宋"/>
          <w:bCs/>
          <w:sz w:val="28"/>
          <w:szCs w:val="28"/>
          <w:highlight w:val="none"/>
          <w:lang w:val="en-US" w:eastAsia="zh-CN"/>
        </w:rPr>
        <w:t>其中</w:t>
      </w:r>
      <w:r>
        <w:rPr>
          <w:rFonts w:hint="eastAsia" w:ascii="仿宋" w:hAnsi="仿宋" w:eastAsia="仿宋" w:cs="仿宋"/>
          <w:bCs/>
          <w:sz w:val="28"/>
          <w:szCs w:val="28"/>
          <w:highlight w:val="none"/>
        </w:rPr>
        <w:t>技术得分</w:t>
      </w:r>
      <w:r>
        <w:rPr>
          <w:rFonts w:hint="eastAsia" w:ascii="仿宋" w:hAnsi="仿宋" w:eastAsia="仿宋" w:cs="仿宋"/>
          <w:bCs/>
          <w:sz w:val="28"/>
          <w:szCs w:val="28"/>
          <w:highlight w:val="none"/>
          <w:lang w:val="en-US" w:eastAsia="zh-CN"/>
        </w:rPr>
        <w:t>达不到合格分的</w:t>
      </w:r>
      <w:r>
        <w:rPr>
          <w:rFonts w:hint="eastAsia" w:ascii="仿宋" w:hAnsi="仿宋" w:eastAsia="仿宋" w:cs="仿宋"/>
          <w:bCs/>
          <w:sz w:val="28"/>
          <w:szCs w:val="28"/>
          <w:highlight w:val="none"/>
        </w:rPr>
        <w:t>报价供应商的商务</w:t>
      </w:r>
      <w:r>
        <w:rPr>
          <w:rFonts w:hint="eastAsia" w:ascii="仿宋" w:hAnsi="仿宋" w:eastAsia="仿宋" w:cs="仿宋"/>
          <w:bCs/>
          <w:sz w:val="28"/>
          <w:szCs w:val="28"/>
          <w:highlight w:val="none"/>
          <w:lang w:val="en-US" w:eastAsia="zh-CN"/>
        </w:rPr>
        <w:t>价格</w:t>
      </w:r>
      <w:r>
        <w:rPr>
          <w:rFonts w:hint="eastAsia" w:ascii="仿宋" w:hAnsi="仿宋" w:eastAsia="仿宋" w:cs="仿宋"/>
          <w:bCs/>
          <w:sz w:val="28"/>
          <w:szCs w:val="28"/>
          <w:highlight w:val="none"/>
        </w:rPr>
        <w:t>标不再进入第二阶段评审。</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本次采购采用“综合评</w:t>
      </w:r>
      <w:r>
        <w:rPr>
          <w:rFonts w:hint="eastAsia" w:ascii="仿宋" w:hAnsi="仿宋" w:eastAsia="仿宋" w:cs="仿宋"/>
          <w:bCs/>
          <w:sz w:val="28"/>
          <w:szCs w:val="28"/>
          <w:highlight w:val="none"/>
          <w:lang w:val="en-US" w:eastAsia="zh-CN"/>
        </w:rPr>
        <w:t>定</w:t>
      </w:r>
      <w:r>
        <w:rPr>
          <w:rFonts w:hint="eastAsia" w:ascii="仿宋" w:hAnsi="仿宋" w:eastAsia="仿宋" w:cs="仿宋"/>
          <w:bCs/>
          <w:sz w:val="28"/>
          <w:szCs w:val="28"/>
          <w:highlight w:val="none"/>
        </w:rPr>
        <w:t>法”进行评审，满分为 100 分。其中，商务分</w:t>
      </w:r>
      <w:r>
        <w:rPr>
          <w:rFonts w:hint="eastAsia" w:ascii="仿宋" w:hAnsi="仿宋" w:eastAsia="仿宋" w:cs="仿宋"/>
          <w:bCs/>
          <w:sz w:val="28"/>
          <w:szCs w:val="28"/>
          <w:highlight w:val="none"/>
          <w:lang w:val="en-US" w:eastAsia="zh-CN"/>
        </w:rPr>
        <w:t>50</w:t>
      </w:r>
      <w:r>
        <w:rPr>
          <w:rFonts w:hint="eastAsia" w:ascii="仿宋" w:hAnsi="仿宋" w:eastAsia="仿宋" w:cs="仿宋"/>
          <w:bCs/>
          <w:sz w:val="28"/>
          <w:szCs w:val="28"/>
          <w:highlight w:val="none"/>
        </w:rPr>
        <w:t xml:space="preserve">分，技术分 </w:t>
      </w:r>
      <w:r>
        <w:rPr>
          <w:rFonts w:hint="eastAsia" w:ascii="仿宋" w:hAnsi="仿宋" w:eastAsia="仿宋" w:cs="仿宋"/>
          <w:bCs/>
          <w:sz w:val="28"/>
          <w:szCs w:val="28"/>
          <w:highlight w:val="none"/>
          <w:lang w:val="en-US" w:eastAsia="zh-CN"/>
        </w:rPr>
        <w:t>50</w:t>
      </w:r>
      <w:r>
        <w:rPr>
          <w:rFonts w:hint="eastAsia" w:ascii="仿宋" w:hAnsi="仿宋" w:eastAsia="仿宋" w:cs="仿宋"/>
          <w:bCs/>
          <w:sz w:val="28"/>
          <w:szCs w:val="28"/>
          <w:highlight w:val="none"/>
        </w:rPr>
        <w:t xml:space="preserve"> 分。报价供应商综合得分=技术评分+商务评分。</w:t>
      </w:r>
    </w:p>
    <w:p>
      <w:pPr>
        <w:snapToGrid w:val="0"/>
        <w:spacing w:line="400" w:lineRule="exact"/>
        <w:ind w:firstLine="280" w:firstLineChars="100"/>
        <w:rPr>
          <w:rFonts w:ascii="宋体" w:hAnsi="宋体" w:cs="宋体"/>
          <w:sz w:val="24"/>
          <w:highlight w:val="none"/>
        </w:rPr>
      </w:pPr>
      <w:r>
        <w:rPr>
          <w:rFonts w:hint="eastAsia" w:ascii="仿宋" w:hAnsi="仿宋" w:eastAsia="仿宋" w:cs="仿宋"/>
          <w:bCs/>
          <w:sz w:val="28"/>
          <w:szCs w:val="28"/>
          <w:highlight w:val="none"/>
        </w:rPr>
        <w:t xml:space="preserve"> </w:t>
      </w:r>
      <w:r>
        <w:rPr>
          <w:rFonts w:hint="eastAsia" w:ascii="宋体" w:hAnsi="宋体" w:cs="宋体"/>
          <w:sz w:val="24"/>
          <w:highlight w:val="none"/>
        </w:rPr>
        <w:t>（一）技术分：</w:t>
      </w:r>
      <w:r>
        <w:rPr>
          <w:rFonts w:hint="eastAsia" w:ascii="宋体" w:hAnsi="宋体" w:cs="宋体"/>
          <w:sz w:val="24"/>
          <w:highlight w:val="none"/>
          <w:lang w:val="en-US" w:eastAsia="zh-CN"/>
        </w:rPr>
        <w:t>50</w:t>
      </w:r>
      <w:r>
        <w:rPr>
          <w:rFonts w:hint="eastAsia" w:ascii="宋体" w:hAnsi="宋体" w:cs="宋体"/>
          <w:sz w:val="24"/>
          <w:highlight w:val="none"/>
        </w:rPr>
        <w:t>分</w:t>
      </w:r>
    </w:p>
    <w:tbl>
      <w:tblPr>
        <w:tblStyle w:val="16"/>
        <w:tblW w:w="0" w:type="auto"/>
        <w:jc w:val="center"/>
        <w:tblLayout w:type="autofit"/>
        <w:tblCellMar>
          <w:top w:w="0" w:type="dxa"/>
          <w:left w:w="108" w:type="dxa"/>
          <w:bottom w:w="0" w:type="dxa"/>
          <w:right w:w="108" w:type="dxa"/>
        </w:tblCellMar>
      </w:tblPr>
      <w:tblGrid>
        <w:gridCol w:w="636"/>
        <w:gridCol w:w="1754"/>
        <w:gridCol w:w="636"/>
        <w:gridCol w:w="6034"/>
      </w:tblGrid>
      <w:tr>
        <w:tblPrEx>
          <w:tblCellMar>
            <w:top w:w="0" w:type="dxa"/>
            <w:left w:w="108" w:type="dxa"/>
            <w:bottom w:w="0" w:type="dxa"/>
            <w:right w:w="108" w:type="dxa"/>
          </w:tblCellMar>
        </w:tblPrEx>
        <w:trPr>
          <w:trHeight w:val="585" w:hRule="atLeast"/>
          <w:jc w:val="center"/>
        </w:trPr>
        <w:tc>
          <w:tcPr>
            <w:tcW w:w="0" w:type="auto"/>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bCs/>
                <w:kern w:val="0"/>
                <w:szCs w:val="21"/>
                <w:highlight w:val="none"/>
              </w:rPr>
            </w:pPr>
            <w:r>
              <w:rPr>
                <w:rFonts w:hint="eastAsia" w:ascii="仿宋_GB2312" w:hAnsi="仿宋_GB2312" w:eastAsia="仿宋_GB2312" w:cs="仿宋_GB2312"/>
                <w:bCs/>
                <w:kern w:val="0"/>
                <w:szCs w:val="21"/>
                <w:highlight w:val="none"/>
              </w:rPr>
              <w:t>序号</w:t>
            </w:r>
          </w:p>
        </w:tc>
        <w:tc>
          <w:tcPr>
            <w:tcW w:w="0" w:type="auto"/>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bCs/>
                <w:kern w:val="0"/>
                <w:szCs w:val="21"/>
                <w:highlight w:val="none"/>
              </w:rPr>
            </w:pPr>
            <w:r>
              <w:rPr>
                <w:rFonts w:hint="eastAsia" w:ascii="仿宋_GB2312" w:hAnsi="仿宋_GB2312" w:eastAsia="仿宋_GB2312" w:cs="仿宋_GB2312"/>
                <w:bCs/>
                <w:kern w:val="0"/>
                <w:szCs w:val="21"/>
                <w:highlight w:val="none"/>
              </w:rPr>
              <w:t xml:space="preserve">评分点名称 </w:t>
            </w:r>
          </w:p>
        </w:tc>
        <w:tc>
          <w:tcPr>
            <w:tcW w:w="0" w:type="auto"/>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bCs/>
                <w:kern w:val="0"/>
                <w:szCs w:val="21"/>
                <w:highlight w:val="none"/>
              </w:rPr>
            </w:pPr>
            <w:r>
              <w:rPr>
                <w:rFonts w:hint="eastAsia" w:ascii="仿宋_GB2312" w:hAnsi="仿宋_GB2312" w:eastAsia="仿宋_GB2312" w:cs="仿宋_GB2312"/>
                <w:bCs/>
                <w:kern w:val="0"/>
                <w:szCs w:val="21"/>
                <w:highlight w:val="none"/>
              </w:rPr>
              <w:t>分值</w:t>
            </w:r>
          </w:p>
        </w:tc>
        <w:tc>
          <w:tcPr>
            <w:tcW w:w="0" w:type="auto"/>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bCs/>
                <w:kern w:val="0"/>
                <w:szCs w:val="21"/>
                <w:highlight w:val="none"/>
              </w:rPr>
            </w:pPr>
            <w:r>
              <w:rPr>
                <w:rFonts w:hint="eastAsia" w:ascii="仿宋_GB2312" w:hAnsi="仿宋_GB2312" w:eastAsia="仿宋_GB2312" w:cs="仿宋_GB2312"/>
                <w:bCs/>
                <w:kern w:val="0"/>
                <w:szCs w:val="21"/>
                <w:highlight w:val="none"/>
              </w:rPr>
              <w:t>评审标准</w:t>
            </w:r>
          </w:p>
        </w:tc>
      </w:tr>
      <w:tr>
        <w:tblPrEx>
          <w:tblCellMar>
            <w:top w:w="0" w:type="dxa"/>
            <w:left w:w="108" w:type="dxa"/>
            <w:bottom w:w="0" w:type="dxa"/>
            <w:right w:w="108" w:type="dxa"/>
          </w:tblCellMar>
        </w:tblPrEx>
        <w:trPr>
          <w:trHeight w:val="975" w:hRule="atLeast"/>
          <w:jc w:val="center"/>
        </w:trPr>
        <w:tc>
          <w:tcPr>
            <w:tcW w:w="0" w:type="auto"/>
            <w:vMerge w:val="restart"/>
            <w:tcBorders>
              <w:top w:val="nil"/>
              <w:left w:val="single" w:color="auto"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color w:val="000000"/>
                <w:kern w:val="0"/>
                <w:szCs w:val="21"/>
                <w:highlight w:val="none"/>
              </w:rPr>
            </w:pPr>
            <w:r>
              <w:rPr>
                <w:rFonts w:hint="eastAsia" w:ascii="仿宋_GB2312" w:hAnsi="仿宋_GB2312" w:eastAsia="仿宋_GB2312" w:cs="仿宋_GB2312"/>
                <w:color w:val="000000"/>
                <w:kern w:val="0"/>
                <w:szCs w:val="21"/>
                <w:highlight w:val="none"/>
              </w:rPr>
              <w:t>1</w:t>
            </w:r>
          </w:p>
        </w:tc>
        <w:tc>
          <w:tcPr>
            <w:tcW w:w="0" w:type="auto"/>
            <w:vMerge w:val="restart"/>
            <w:tcBorders>
              <w:top w:val="nil"/>
              <w:left w:val="single" w:color="auto"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color w:val="FF0000"/>
                <w:kern w:val="0"/>
                <w:szCs w:val="21"/>
                <w:highlight w:val="none"/>
              </w:rPr>
            </w:pPr>
            <w:r>
              <w:rPr>
                <w:rFonts w:hint="eastAsia" w:ascii="仿宋_GB2312" w:hAnsi="仿宋_GB2312" w:eastAsia="仿宋_GB2312" w:cs="仿宋_GB2312"/>
                <w:kern w:val="0"/>
                <w:szCs w:val="21"/>
                <w:highlight w:val="none"/>
              </w:rPr>
              <w:t>技术要求响应（</w:t>
            </w:r>
            <w:r>
              <w:rPr>
                <w:rFonts w:hint="eastAsia" w:ascii="仿宋_GB2312" w:hAnsi="仿宋_GB2312" w:eastAsia="仿宋_GB2312" w:cs="仿宋_GB2312"/>
                <w:kern w:val="0"/>
                <w:szCs w:val="21"/>
                <w:highlight w:val="none"/>
                <w:lang w:val="en-US" w:eastAsia="zh-CN"/>
              </w:rPr>
              <w:t>24</w:t>
            </w:r>
            <w:r>
              <w:rPr>
                <w:rFonts w:hint="eastAsia" w:ascii="仿宋_GB2312" w:hAnsi="仿宋_GB2312" w:eastAsia="仿宋_GB2312" w:cs="仿宋_GB2312"/>
                <w:kern w:val="0"/>
                <w:szCs w:val="21"/>
                <w:highlight w:val="none"/>
              </w:rPr>
              <w:t>）</w:t>
            </w:r>
          </w:p>
        </w:tc>
        <w:tc>
          <w:tcPr>
            <w:tcW w:w="0" w:type="auto"/>
            <w:tcBorders>
              <w:top w:val="nil"/>
              <w:left w:val="nil"/>
              <w:bottom w:val="single" w:color="auto" w:sz="4" w:space="0"/>
              <w:right w:val="single" w:color="auto" w:sz="4" w:space="0"/>
            </w:tcBorders>
            <w:noWrap w:val="0"/>
            <w:vAlign w:val="center"/>
          </w:tcPr>
          <w:p>
            <w:pPr>
              <w:spacing w:line="400" w:lineRule="exact"/>
              <w:jc w:val="center"/>
              <w:rPr>
                <w:rFonts w:ascii="仿宋_GB2312" w:hAnsi="仿宋_GB2312" w:eastAsia="仿宋_GB2312" w:cs="仿宋_GB2312"/>
                <w:bCs/>
                <w:spacing w:val="10"/>
                <w:kern w:val="0"/>
                <w:szCs w:val="21"/>
                <w:highlight w:val="none"/>
              </w:rPr>
            </w:pPr>
            <w:r>
              <w:rPr>
                <w:rFonts w:ascii="仿宋_GB2312" w:hAnsi="仿宋_GB2312" w:eastAsia="仿宋_GB2312" w:cs="仿宋_GB2312"/>
                <w:bCs/>
                <w:spacing w:val="10"/>
                <w:kern w:val="0"/>
                <w:szCs w:val="21"/>
                <w:highlight w:val="none"/>
              </w:rPr>
              <w:t>10</w:t>
            </w:r>
          </w:p>
        </w:tc>
        <w:tc>
          <w:tcPr>
            <w:tcW w:w="0" w:type="auto"/>
            <w:tcBorders>
              <w:top w:val="nil"/>
              <w:left w:val="nil"/>
              <w:bottom w:val="single" w:color="auto" w:sz="4" w:space="0"/>
              <w:right w:val="single" w:color="auto" w:sz="4" w:space="0"/>
            </w:tcBorders>
            <w:noWrap w:val="0"/>
            <w:vAlign w:val="center"/>
          </w:tcPr>
          <w:p>
            <w:pPr>
              <w:spacing w:line="400" w:lineRule="exact"/>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报价时须提供样品【DN100电磁</w:t>
            </w:r>
            <w:r>
              <w:rPr>
                <w:rFonts w:hint="eastAsia" w:ascii="仿宋_GB2312" w:hAnsi="仿宋_GB2312" w:eastAsia="仿宋_GB2312" w:cs="仿宋_GB2312"/>
                <w:kern w:val="0"/>
                <w:szCs w:val="21"/>
                <w:highlight w:val="none"/>
                <w:lang w:val="en-US" w:eastAsia="zh-CN"/>
              </w:rPr>
              <w:t>流量计、DN100电磁阀各1台</w:t>
            </w:r>
            <w:r>
              <w:rPr>
                <w:rFonts w:hint="eastAsia" w:ascii="仿宋_GB2312" w:hAnsi="仿宋_GB2312" w:eastAsia="仿宋_GB2312" w:cs="仿宋_GB2312"/>
                <w:kern w:val="0"/>
                <w:szCs w:val="21"/>
                <w:highlight w:val="none"/>
              </w:rPr>
              <w:t>】供评委评审（提供的样品不得有体现供应商信息的铭牌），如不提供样品或样品不全或样品明显不</w:t>
            </w:r>
            <w:r>
              <w:rPr>
                <w:rFonts w:hint="eastAsia" w:ascii="仿宋_GB2312" w:hAnsi="仿宋_GB2312" w:eastAsia="仿宋_GB2312" w:cs="仿宋_GB2312"/>
                <w:kern w:val="0"/>
                <w:szCs w:val="21"/>
                <w:highlight w:val="none"/>
                <w:lang w:val="en-US" w:eastAsia="zh-CN"/>
              </w:rPr>
              <w:t>符合采购文件技术要求的该项评分为0分，可对样品的外观、造型、流量计表盘布局（含各类流量显示，是否带背光显示）、材质、外观精致度、是否可扩展压力检测等功能，此项最多得10分；</w:t>
            </w:r>
          </w:p>
          <w:p>
            <w:pPr>
              <w:pStyle w:val="2"/>
              <w:rPr>
                <w:rFonts w:hint="eastAsia"/>
                <w:highlight w:val="none"/>
              </w:rPr>
            </w:pPr>
          </w:p>
        </w:tc>
      </w:tr>
      <w:tr>
        <w:tblPrEx>
          <w:tblCellMar>
            <w:top w:w="0" w:type="dxa"/>
            <w:left w:w="108" w:type="dxa"/>
            <w:bottom w:w="0" w:type="dxa"/>
            <w:right w:w="108" w:type="dxa"/>
          </w:tblCellMar>
        </w:tblPrEx>
        <w:trPr>
          <w:trHeight w:val="558" w:hRule="atLeast"/>
          <w:jc w:val="center"/>
        </w:trPr>
        <w:tc>
          <w:tcPr>
            <w:tcW w:w="0" w:type="auto"/>
            <w:vMerge w:val="continue"/>
            <w:tcBorders>
              <w:left w:val="single" w:color="auto" w:sz="4" w:space="0"/>
              <w:bottom w:val="single" w:color="000000"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color w:val="000000"/>
                <w:kern w:val="0"/>
                <w:szCs w:val="21"/>
                <w:highlight w:val="none"/>
              </w:rPr>
            </w:pPr>
          </w:p>
        </w:tc>
        <w:tc>
          <w:tcPr>
            <w:tcW w:w="0" w:type="auto"/>
            <w:vMerge w:val="continue"/>
            <w:tcBorders>
              <w:left w:val="single" w:color="auto" w:sz="4" w:space="0"/>
              <w:bottom w:val="single" w:color="000000"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kern w:val="0"/>
                <w:szCs w:val="21"/>
                <w:highlight w:val="none"/>
              </w:rPr>
            </w:pPr>
          </w:p>
        </w:tc>
        <w:tc>
          <w:tcPr>
            <w:tcW w:w="0" w:type="auto"/>
            <w:tcBorders>
              <w:top w:val="nil"/>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bCs/>
                <w:spacing w:val="10"/>
                <w:kern w:val="0"/>
                <w:szCs w:val="21"/>
                <w:highlight w:val="none"/>
                <w:lang w:eastAsia="zh-CN"/>
              </w:rPr>
            </w:pPr>
            <w:r>
              <w:rPr>
                <w:rFonts w:hint="eastAsia" w:ascii="仿宋_GB2312" w:hAnsi="仿宋_GB2312" w:eastAsia="仿宋_GB2312" w:cs="仿宋_GB2312"/>
                <w:bCs/>
                <w:spacing w:val="10"/>
                <w:kern w:val="0"/>
                <w:szCs w:val="21"/>
                <w:highlight w:val="none"/>
                <w:lang w:val="en-US" w:eastAsia="zh-CN"/>
              </w:rPr>
              <w:t>2</w:t>
            </w:r>
          </w:p>
        </w:tc>
        <w:tc>
          <w:tcPr>
            <w:tcW w:w="0" w:type="auto"/>
            <w:tcBorders>
              <w:top w:val="nil"/>
              <w:left w:val="nil"/>
              <w:bottom w:val="single" w:color="auto" w:sz="4" w:space="0"/>
              <w:right w:val="single" w:color="auto" w:sz="4" w:space="0"/>
            </w:tcBorders>
            <w:noWrap w:val="0"/>
            <w:vAlign w:val="center"/>
          </w:tcPr>
          <w:p>
            <w:pPr>
              <w:spacing w:line="400" w:lineRule="exact"/>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为保证现场流量数据传输的准确性，</w:t>
            </w:r>
            <w:r>
              <w:rPr>
                <w:rFonts w:hint="eastAsia" w:ascii="仿宋_GB2312" w:hAnsi="仿宋_GB2312" w:eastAsia="仿宋_GB2312" w:cs="仿宋_GB2312"/>
                <w:kern w:val="0"/>
                <w:szCs w:val="21"/>
                <w:highlight w:val="none"/>
                <w:lang w:val="en-US" w:eastAsia="zh-CN"/>
              </w:rPr>
              <w:t>电磁流量计厂家</w:t>
            </w:r>
            <w:r>
              <w:rPr>
                <w:rFonts w:hint="eastAsia" w:ascii="仿宋_GB2312" w:hAnsi="仿宋_GB2312" w:eastAsia="仿宋_GB2312" w:cs="仿宋_GB2312"/>
                <w:kern w:val="0"/>
                <w:szCs w:val="21"/>
                <w:highlight w:val="none"/>
              </w:rPr>
              <w:t>取得具有工信部颁发的有效期内</w:t>
            </w:r>
            <w:r>
              <w:rPr>
                <w:rFonts w:hint="eastAsia" w:ascii="仿宋_GB2312" w:hAnsi="仿宋_GB2312" w:eastAsia="仿宋_GB2312" w:cs="仿宋_GB2312"/>
                <w:kern w:val="0"/>
                <w:szCs w:val="21"/>
                <w:highlight w:val="none"/>
                <w:lang w:val="en-US" w:eastAsia="zh-CN"/>
              </w:rPr>
              <w:t>4G</w:t>
            </w:r>
            <w:r>
              <w:rPr>
                <w:rFonts w:hint="eastAsia" w:ascii="仿宋_GB2312" w:hAnsi="仿宋_GB2312" w:eastAsia="仿宋_GB2312" w:cs="仿宋_GB2312"/>
                <w:kern w:val="0"/>
                <w:szCs w:val="21"/>
                <w:highlight w:val="none"/>
              </w:rPr>
              <w:t>数据终端《电信设备进网许可证》的，得</w:t>
            </w:r>
            <w:r>
              <w:rPr>
                <w:rFonts w:hint="eastAsia" w:ascii="仿宋_GB2312" w:hAnsi="仿宋_GB2312" w:eastAsia="仿宋_GB2312" w:cs="仿宋_GB2312"/>
                <w:kern w:val="0"/>
                <w:szCs w:val="21"/>
                <w:highlight w:val="none"/>
                <w:lang w:val="en-US" w:eastAsia="zh-CN"/>
              </w:rPr>
              <w:t>1</w:t>
            </w:r>
            <w:r>
              <w:rPr>
                <w:rFonts w:hint="eastAsia" w:ascii="仿宋_GB2312" w:hAnsi="仿宋_GB2312" w:eastAsia="仿宋_GB2312" w:cs="仿宋_GB2312"/>
                <w:kern w:val="0"/>
                <w:szCs w:val="21"/>
                <w:highlight w:val="none"/>
              </w:rPr>
              <w:t>分</w:t>
            </w:r>
            <w:r>
              <w:rPr>
                <w:rFonts w:hint="eastAsia" w:ascii="仿宋_GB2312" w:hAnsi="仿宋_GB2312" w:eastAsia="仿宋_GB2312" w:cs="仿宋_GB2312"/>
                <w:kern w:val="0"/>
                <w:szCs w:val="21"/>
                <w:highlight w:val="none"/>
                <w:lang w:eastAsia="zh-CN"/>
              </w:rPr>
              <w:t>，</w:t>
            </w:r>
            <w:r>
              <w:rPr>
                <w:rFonts w:hint="eastAsia" w:ascii="仿宋_GB2312" w:hAnsi="仿宋_GB2312" w:eastAsia="仿宋_GB2312" w:cs="仿宋_GB2312"/>
                <w:kern w:val="0"/>
                <w:szCs w:val="21"/>
                <w:highlight w:val="none"/>
                <w:lang w:val="en-US" w:eastAsia="zh-CN"/>
              </w:rPr>
              <w:t>提供相关复印件</w:t>
            </w:r>
            <w:r>
              <w:rPr>
                <w:rFonts w:hint="eastAsia" w:ascii="仿宋_GB2312" w:hAnsi="仿宋_GB2312" w:eastAsia="仿宋_GB2312" w:cs="仿宋_GB2312"/>
                <w:kern w:val="0"/>
                <w:szCs w:val="21"/>
                <w:highlight w:val="none"/>
              </w:rPr>
              <w:t>。</w:t>
            </w:r>
          </w:p>
          <w:p>
            <w:pPr>
              <w:spacing w:line="400" w:lineRule="exact"/>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val="en-US" w:eastAsia="zh-CN"/>
              </w:rPr>
              <w:t>电磁流量计厂家</w:t>
            </w:r>
            <w:r>
              <w:rPr>
                <w:rFonts w:hint="eastAsia" w:ascii="仿宋_GB2312" w:hAnsi="仿宋_GB2312" w:eastAsia="仿宋_GB2312" w:cs="仿宋_GB2312"/>
                <w:kern w:val="0"/>
                <w:szCs w:val="21"/>
                <w:highlight w:val="none"/>
              </w:rPr>
              <w:t>取得工信部颁发的有效期内</w:t>
            </w:r>
            <w:r>
              <w:rPr>
                <w:rFonts w:hint="eastAsia" w:ascii="仿宋_GB2312" w:hAnsi="仿宋_GB2312" w:eastAsia="仿宋_GB2312" w:cs="仿宋_GB2312"/>
                <w:kern w:val="0"/>
                <w:szCs w:val="21"/>
                <w:highlight w:val="none"/>
                <w:lang w:val="en-US" w:eastAsia="zh-CN"/>
              </w:rPr>
              <w:t>4G</w:t>
            </w:r>
            <w:r>
              <w:rPr>
                <w:rFonts w:hint="eastAsia" w:ascii="仿宋_GB2312" w:hAnsi="仿宋_GB2312" w:eastAsia="仿宋_GB2312" w:cs="仿宋_GB2312"/>
                <w:kern w:val="0"/>
                <w:szCs w:val="21"/>
                <w:highlight w:val="none"/>
              </w:rPr>
              <w:t>数据终端《无线电发射设备型号核准证》的，得</w:t>
            </w:r>
            <w:r>
              <w:rPr>
                <w:rFonts w:hint="eastAsia" w:ascii="仿宋_GB2312" w:hAnsi="仿宋_GB2312" w:eastAsia="仿宋_GB2312" w:cs="仿宋_GB2312"/>
                <w:kern w:val="0"/>
                <w:szCs w:val="21"/>
                <w:highlight w:val="none"/>
                <w:lang w:val="en-US" w:eastAsia="zh-CN"/>
              </w:rPr>
              <w:t>1</w:t>
            </w:r>
            <w:r>
              <w:rPr>
                <w:rFonts w:hint="eastAsia" w:ascii="仿宋_GB2312" w:hAnsi="仿宋_GB2312" w:eastAsia="仿宋_GB2312" w:cs="仿宋_GB2312"/>
                <w:kern w:val="0"/>
                <w:szCs w:val="21"/>
                <w:highlight w:val="none"/>
              </w:rPr>
              <w:t>分</w:t>
            </w:r>
            <w:r>
              <w:rPr>
                <w:rFonts w:hint="eastAsia" w:ascii="仿宋_GB2312" w:hAnsi="仿宋_GB2312" w:eastAsia="仿宋_GB2312" w:cs="仿宋_GB2312"/>
                <w:kern w:val="0"/>
                <w:szCs w:val="21"/>
                <w:highlight w:val="none"/>
                <w:lang w:eastAsia="zh-CN"/>
              </w:rPr>
              <w:t>，</w:t>
            </w:r>
            <w:r>
              <w:rPr>
                <w:rFonts w:hint="eastAsia" w:ascii="仿宋_GB2312" w:hAnsi="仿宋_GB2312" w:eastAsia="仿宋_GB2312" w:cs="仿宋_GB2312"/>
                <w:kern w:val="0"/>
                <w:szCs w:val="21"/>
                <w:highlight w:val="none"/>
                <w:lang w:val="en-US" w:eastAsia="zh-CN"/>
              </w:rPr>
              <w:t>提供相关复印件</w:t>
            </w:r>
          </w:p>
        </w:tc>
      </w:tr>
      <w:tr>
        <w:tblPrEx>
          <w:tblCellMar>
            <w:top w:w="0" w:type="dxa"/>
            <w:left w:w="108" w:type="dxa"/>
            <w:bottom w:w="0" w:type="dxa"/>
            <w:right w:w="108" w:type="dxa"/>
          </w:tblCellMar>
        </w:tblPrEx>
        <w:trPr>
          <w:trHeight w:val="558" w:hRule="atLeast"/>
          <w:jc w:val="center"/>
        </w:trPr>
        <w:tc>
          <w:tcPr>
            <w:tcW w:w="0" w:type="auto"/>
            <w:vMerge w:val="continue"/>
            <w:tcBorders>
              <w:left w:val="single" w:color="auto" w:sz="4" w:space="0"/>
              <w:bottom w:val="single" w:color="000000"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color w:val="000000"/>
                <w:kern w:val="0"/>
                <w:szCs w:val="21"/>
                <w:highlight w:val="none"/>
              </w:rPr>
            </w:pPr>
          </w:p>
        </w:tc>
        <w:tc>
          <w:tcPr>
            <w:tcW w:w="0" w:type="auto"/>
            <w:vMerge w:val="continue"/>
            <w:tcBorders>
              <w:left w:val="single" w:color="auto" w:sz="4" w:space="0"/>
              <w:bottom w:val="single" w:color="000000"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kern w:val="0"/>
                <w:szCs w:val="21"/>
                <w:highlight w:val="none"/>
              </w:rPr>
            </w:pPr>
          </w:p>
        </w:tc>
        <w:tc>
          <w:tcPr>
            <w:tcW w:w="0" w:type="auto"/>
            <w:tcBorders>
              <w:top w:val="nil"/>
              <w:left w:val="nil"/>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cs="仿宋_GB2312"/>
                <w:bCs/>
                <w:spacing w:val="10"/>
                <w:kern w:val="0"/>
                <w:szCs w:val="21"/>
                <w:highlight w:val="none"/>
                <w:lang w:val="en-US" w:eastAsia="zh-CN"/>
              </w:rPr>
            </w:pPr>
            <w:r>
              <w:rPr>
                <w:rFonts w:hint="eastAsia" w:ascii="仿宋_GB2312" w:hAnsi="仿宋_GB2312" w:eastAsia="仿宋_GB2312" w:cs="仿宋_GB2312"/>
                <w:bCs/>
                <w:spacing w:val="10"/>
                <w:kern w:val="0"/>
                <w:szCs w:val="21"/>
                <w:highlight w:val="none"/>
                <w:lang w:val="en-US" w:eastAsia="zh-CN"/>
              </w:rPr>
              <w:t>12</w:t>
            </w:r>
          </w:p>
        </w:tc>
        <w:tc>
          <w:tcPr>
            <w:tcW w:w="0" w:type="auto"/>
            <w:tcBorders>
              <w:top w:val="nil"/>
              <w:left w:val="nil"/>
              <w:bottom w:val="single" w:color="auto" w:sz="4" w:space="0"/>
              <w:right w:val="single" w:color="auto" w:sz="4" w:space="0"/>
            </w:tcBorders>
            <w:noWrap w:val="0"/>
            <w:vAlign w:val="center"/>
          </w:tcPr>
          <w:p>
            <w:pPr>
              <w:spacing w:line="400" w:lineRule="exact"/>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提供</w:t>
            </w:r>
            <w:r>
              <w:rPr>
                <w:rFonts w:hint="eastAsia" w:ascii="仿宋_GB2312" w:hAnsi="仿宋_GB2312" w:eastAsia="仿宋_GB2312" w:cs="仿宋_GB2312"/>
                <w:kern w:val="0"/>
                <w:szCs w:val="21"/>
                <w:highlight w:val="none"/>
                <w:lang w:val="en-US" w:eastAsia="zh-CN"/>
              </w:rPr>
              <w:t>流量计厂家近三年</w:t>
            </w:r>
            <w:r>
              <w:rPr>
                <w:rFonts w:ascii="仿宋_GB2312" w:hAnsi="仿宋_GB2312" w:eastAsia="仿宋_GB2312" w:cs="仿宋_GB2312"/>
                <w:kern w:val="0"/>
                <w:szCs w:val="21"/>
                <w:highlight w:val="none"/>
              </w:rPr>
              <w:t>以来</w:t>
            </w:r>
            <w:r>
              <w:rPr>
                <w:rFonts w:hint="eastAsia" w:ascii="仿宋_GB2312" w:hAnsi="仿宋_GB2312" w:eastAsia="仿宋_GB2312" w:cs="仿宋_GB2312"/>
                <w:kern w:val="0"/>
                <w:szCs w:val="21"/>
                <w:highlight w:val="none"/>
                <w:lang w:val="en-US" w:eastAsia="zh-CN"/>
              </w:rPr>
              <w:t>流量计</w:t>
            </w:r>
            <w:r>
              <w:rPr>
                <w:rFonts w:hint="eastAsia" w:ascii="仿宋_GB2312" w:hAnsi="仿宋_GB2312" w:eastAsia="仿宋_GB2312" w:cs="仿宋_GB2312"/>
                <w:kern w:val="0"/>
                <w:szCs w:val="21"/>
                <w:highlight w:val="none"/>
              </w:rPr>
              <w:t>的省级法定计量机构</w:t>
            </w:r>
            <w:r>
              <w:rPr>
                <w:rFonts w:hint="eastAsia" w:ascii="仿宋_GB2312" w:hAnsi="仿宋_GB2312" w:eastAsia="仿宋_GB2312" w:cs="仿宋_GB2312"/>
                <w:kern w:val="0"/>
                <w:szCs w:val="21"/>
                <w:highlight w:val="none"/>
                <w:lang w:val="en-US" w:eastAsia="zh-CN"/>
              </w:rPr>
              <w:t>或</w:t>
            </w:r>
            <w:r>
              <w:rPr>
                <w:rFonts w:hint="eastAsia" w:ascii="仿宋_GB2312" w:hAnsi="仿宋_GB2312" w:eastAsia="仿宋_GB2312" w:cs="仿宋_GB2312"/>
                <w:kern w:val="0"/>
                <w:szCs w:val="21"/>
                <w:highlight w:val="none"/>
              </w:rPr>
              <w:t>省级法定计量机构</w:t>
            </w:r>
            <w:r>
              <w:rPr>
                <w:rFonts w:hint="eastAsia" w:ascii="仿宋_GB2312" w:hAnsi="仿宋_GB2312" w:eastAsia="仿宋_GB2312" w:cs="仿宋_GB2312"/>
                <w:kern w:val="0"/>
                <w:szCs w:val="21"/>
                <w:highlight w:val="none"/>
                <w:lang w:val="en-US" w:eastAsia="zh-CN"/>
              </w:rPr>
              <w:t>授权的第三方检测机构出具的流量计</w:t>
            </w:r>
            <w:r>
              <w:rPr>
                <w:rFonts w:hint="eastAsia" w:ascii="仿宋_GB2312" w:hAnsi="仿宋_GB2312" w:eastAsia="仿宋_GB2312" w:cs="仿宋_GB2312"/>
                <w:kern w:val="0"/>
                <w:szCs w:val="21"/>
                <w:highlight w:val="none"/>
              </w:rPr>
              <w:t>检测报告</w:t>
            </w:r>
            <w:r>
              <w:rPr>
                <w:rFonts w:hint="eastAsia" w:ascii="仿宋_GB2312" w:hAnsi="仿宋_GB2312" w:eastAsia="仿宋_GB2312" w:cs="仿宋_GB2312"/>
                <w:kern w:val="0"/>
                <w:szCs w:val="21"/>
                <w:highlight w:val="none"/>
                <w:lang w:val="en-US" w:eastAsia="zh-CN"/>
              </w:rPr>
              <w:t>复印件</w:t>
            </w:r>
            <w:r>
              <w:rPr>
                <w:rFonts w:hint="eastAsia" w:ascii="仿宋_GB2312" w:hAnsi="仿宋_GB2312" w:eastAsia="仿宋_GB2312" w:cs="仿宋_GB2312"/>
                <w:kern w:val="0"/>
                <w:szCs w:val="21"/>
                <w:highlight w:val="none"/>
              </w:rPr>
              <w:t>（同一规格只可提供一份省级报告），每个规格得</w:t>
            </w:r>
            <w:r>
              <w:rPr>
                <w:rFonts w:ascii="仿宋_GB2312" w:hAnsi="仿宋_GB2312" w:eastAsia="仿宋_GB2312" w:cs="仿宋_GB2312"/>
                <w:kern w:val="0"/>
                <w:szCs w:val="21"/>
                <w:highlight w:val="none"/>
              </w:rPr>
              <w:t>1</w:t>
            </w:r>
            <w:r>
              <w:rPr>
                <w:rFonts w:hint="eastAsia" w:ascii="仿宋_GB2312" w:hAnsi="仿宋_GB2312" w:eastAsia="仿宋_GB2312" w:cs="仿宋_GB2312"/>
                <w:kern w:val="0"/>
                <w:szCs w:val="21"/>
                <w:highlight w:val="none"/>
              </w:rPr>
              <w:t>分，最多的</w:t>
            </w:r>
            <w:r>
              <w:rPr>
                <w:rFonts w:ascii="仿宋_GB2312" w:hAnsi="仿宋_GB2312" w:eastAsia="仿宋_GB2312" w:cs="仿宋_GB2312"/>
                <w:kern w:val="0"/>
                <w:szCs w:val="21"/>
                <w:highlight w:val="none"/>
              </w:rPr>
              <w:t>3</w:t>
            </w:r>
            <w:r>
              <w:rPr>
                <w:rFonts w:hint="eastAsia" w:ascii="仿宋_GB2312" w:hAnsi="仿宋_GB2312" w:eastAsia="仿宋_GB2312" w:cs="仿宋_GB2312"/>
                <w:kern w:val="0"/>
                <w:szCs w:val="21"/>
                <w:highlight w:val="none"/>
              </w:rPr>
              <w:t>分；提供</w:t>
            </w:r>
            <w:r>
              <w:rPr>
                <w:rFonts w:hint="eastAsia" w:ascii="仿宋_GB2312" w:hAnsi="仿宋_GB2312" w:eastAsia="仿宋_GB2312" w:cs="仿宋_GB2312"/>
                <w:kern w:val="0"/>
                <w:szCs w:val="21"/>
                <w:highlight w:val="none"/>
                <w:lang w:val="en-US" w:eastAsia="zh-CN"/>
              </w:rPr>
              <w:t>流量计厂家近三年</w:t>
            </w:r>
            <w:r>
              <w:rPr>
                <w:rFonts w:ascii="仿宋_GB2312" w:hAnsi="仿宋_GB2312" w:eastAsia="仿宋_GB2312" w:cs="仿宋_GB2312"/>
                <w:kern w:val="0"/>
                <w:szCs w:val="21"/>
                <w:highlight w:val="none"/>
              </w:rPr>
              <w:t>以来</w:t>
            </w:r>
            <w:r>
              <w:rPr>
                <w:rFonts w:hint="eastAsia" w:ascii="仿宋_GB2312" w:hAnsi="仿宋_GB2312" w:eastAsia="仿宋_GB2312" w:cs="仿宋_GB2312"/>
                <w:kern w:val="0"/>
                <w:szCs w:val="21"/>
                <w:highlight w:val="none"/>
                <w:lang w:val="en-US" w:eastAsia="zh-CN"/>
              </w:rPr>
              <w:t>流量计</w:t>
            </w:r>
            <w:r>
              <w:rPr>
                <w:rFonts w:hint="eastAsia" w:ascii="仿宋_GB2312" w:hAnsi="仿宋_GB2312" w:eastAsia="仿宋_GB2312" w:cs="仿宋_GB2312"/>
                <w:kern w:val="0"/>
                <w:szCs w:val="21"/>
                <w:highlight w:val="none"/>
              </w:rPr>
              <w:t>的</w:t>
            </w:r>
            <w:r>
              <w:rPr>
                <w:rFonts w:hint="eastAsia" w:ascii="仿宋_GB2312" w:hAnsi="仿宋_GB2312" w:eastAsia="仿宋_GB2312" w:cs="仿宋_GB2312"/>
                <w:kern w:val="0"/>
                <w:szCs w:val="21"/>
                <w:highlight w:val="none"/>
                <w:lang w:val="en-US" w:eastAsia="zh-CN"/>
              </w:rPr>
              <w:t>国家级</w:t>
            </w:r>
            <w:r>
              <w:rPr>
                <w:rFonts w:hint="eastAsia" w:ascii="仿宋_GB2312" w:hAnsi="仿宋_GB2312" w:eastAsia="仿宋_GB2312" w:cs="仿宋_GB2312"/>
                <w:kern w:val="0"/>
                <w:szCs w:val="21"/>
                <w:highlight w:val="none"/>
              </w:rPr>
              <w:t>法定计量机构</w:t>
            </w:r>
            <w:r>
              <w:rPr>
                <w:rFonts w:hint="eastAsia" w:ascii="仿宋_GB2312" w:hAnsi="仿宋_GB2312" w:eastAsia="仿宋_GB2312" w:cs="仿宋_GB2312"/>
                <w:kern w:val="0"/>
                <w:szCs w:val="21"/>
                <w:highlight w:val="none"/>
                <w:lang w:val="en-US" w:eastAsia="zh-CN"/>
              </w:rPr>
              <w:t>或国家</w:t>
            </w:r>
            <w:r>
              <w:rPr>
                <w:rFonts w:hint="eastAsia" w:ascii="仿宋_GB2312" w:hAnsi="仿宋_GB2312" w:eastAsia="仿宋_GB2312" w:cs="仿宋_GB2312"/>
                <w:kern w:val="0"/>
                <w:szCs w:val="21"/>
                <w:highlight w:val="none"/>
              </w:rPr>
              <w:t>级法定计量机构</w:t>
            </w:r>
            <w:r>
              <w:rPr>
                <w:rFonts w:hint="eastAsia" w:ascii="仿宋_GB2312" w:hAnsi="仿宋_GB2312" w:eastAsia="仿宋_GB2312" w:cs="仿宋_GB2312"/>
                <w:kern w:val="0"/>
                <w:szCs w:val="21"/>
                <w:highlight w:val="none"/>
                <w:lang w:val="en-US" w:eastAsia="zh-CN"/>
              </w:rPr>
              <w:t>授权的第三方检测机构出具的流量计</w:t>
            </w:r>
            <w:r>
              <w:rPr>
                <w:rFonts w:hint="eastAsia" w:ascii="仿宋_GB2312" w:hAnsi="仿宋_GB2312" w:eastAsia="仿宋_GB2312" w:cs="仿宋_GB2312"/>
                <w:kern w:val="0"/>
                <w:szCs w:val="21"/>
                <w:highlight w:val="none"/>
              </w:rPr>
              <w:t>检测报告</w:t>
            </w:r>
            <w:r>
              <w:rPr>
                <w:rFonts w:hint="eastAsia" w:ascii="仿宋_GB2312" w:hAnsi="仿宋_GB2312" w:eastAsia="仿宋_GB2312" w:cs="仿宋_GB2312"/>
                <w:kern w:val="0"/>
                <w:szCs w:val="21"/>
                <w:highlight w:val="none"/>
                <w:lang w:val="en-US" w:eastAsia="zh-CN"/>
              </w:rPr>
              <w:t>复印件</w:t>
            </w:r>
            <w:r>
              <w:rPr>
                <w:rFonts w:hint="eastAsia" w:ascii="仿宋_GB2312" w:hAnsi="仿宋_GB2312" w:eastAsia="仿宋_GB2312" w:cs="仿宋_GB2312"/>
                <w:kern w:val="0"/>
                <w:szCs w:val="21"/>
                <w:highlight w:val="none"/>
              </w:rPr>
              <w:t>（同一规格只可提供一份国家级报告），每个规格得</w:t>
            </w:r>
            <w:r>
              <w:rPr>
                <w:rFonts w:ascii="仿宋_GB2312" w:hAnsi="仿宋_GB2312" w:eastAsia="仿宋_GB2312" w:cs="仿宋_GB2312"/>
                <w:kern w:val="0"/>
                <w:szCs w:val="21"/>
                <w:highlight w:val="none"/>
              </w:rPr>
              <w:t>2</w:t>
            </w:r>
            <w:r>
              <w:rPr>
                <w:rFonts w:hint="eastAsia" w:ascii="仿宋_GB2312" w:hAnsi="仿宋_GB2312" w:eastAsia="仿宋_GB2312" w:cs="仿宋_GB2312"/>
                <w:kern w:val="0"/>
                <w:szCs w:val="21"/>
                <w:highlight w:val="none"/>
              </w:rPr>
              <w:t>分，最多的</w:t>
            </w:r>
            <w:r>
              <w:rPr>
                <w:rFonts w:ascii="仿宋_GB2312" w:hAnsi="仿宋_GB2312" w:eastAsia="仿宋_GB2312" w:cs="仿宋_GB2312"/>
                <w:kern w:val="0"/>
                <w:szCs w:val="21"/>
                <w:highlight w:val="none"/>
              </w:rPr>
              <w:t>6</w:t>
            </w:r>
            <w:r>
              <w:rPr>
                <w:rFonts w:hint="eastAsia" w:ascii="仿宋_GB2312" w:hAnsi="仿宋_GB2312" w:eastAsia="仿宋_GB2312" w:cs="仿宋_GB2312"/>
                <w:kern w:val="0"/>
                <w:szCs w:val="21"/>
                <w:highlight w:val="none"/>
              </w:rPr>
              <w:t>分；总得分最多得</w:t>
            </w:r>
            <w:r>
              <w:rPr>
                <w:rFonts w:ascii="仿宋_GB2312" w:hAnsi="仿宋_GB2312" w:eastAsia="仿宋_GB2312" w:cs="仿宋_GB2312"/>
                <w:kern w:val="0"/>
                <w:szCs w:val="21"/>
                <w:highlight w:val="none"/>
              </w:rPr>
              <w:t>6</w:t>
            </w:r>
            <w:r>
              <w:rPr>
                <w:rFonts w:hint="eastAsia" w:ascii="仿宋_GB2312" w:hAnsi="仿宋_GB2312" w:eastAsia="仿宋_GB2312" w:cs="仿宋_GB2312"/>
                <w:kern w:val="0"/>
                <w:szCs w:val="21"/>
                <w:highlight w:val="none"/>
              </w:rPr>
              <w:t>分，成交后原件备查</w:t>
            </w:r>
          </w:p>
          <w:p>
            <w:pPr>
              <w:spacing w:line="400" w:lineRule="exact"/>
              <w:jc w:val="left"/>
              <w:rPr>
                <w:rFonts w:hint="eastAsia"/>
                <w:highlight w:val="none"/>
              </w:rPr>
            </w:pPr>
            <w:r>
              <w:rPr>
                <w:rFonts w:hint="eastAsia" w:ascii="仿宋_GB2312" w:hAnsi="仿宋_GB2312" w:eastAsia="仿宋_GB2312" w:cs="仿宋_GB2312"/>
                <w:kern w:val="0"/>
                <w:szCs w:val="21"/>
                <w:highlight w:val="none"/>
              </w:rPr>
              <w:t>提供</w:t>
            </w:r>
            <w:r>
              <w:rPr>
                <w:rFonts w:hint="eastAsia" w:ascii="仿宋_GB2312" w:hAnsi="仿宋_GB2312" w:eastAsia="仿宋_GB2312" w:cs="仿宋_GB2312"/>
                <w:kern w:val="0"/>
                <w:szCs w:val="21"/>
                <w:highlight w:val="none"/>
                <w:lang w:val="en-US" w:eastAsia="zh-CN"/>
              </w:rPr>
              <w:t>电磁阀厂家近三年</w:t>
            </w:r>
            <w:r>
              <w:rPr>
                <w:rFonts w:ascii="仿宋_GB2312" w:hAnsi="仿宋_GB2312" w:eastAsia="仿宋_GB2312" w:cs="仿宋_GB2312"/>
                <w:kern w:val="0"/>
                <w:szCs w:val="21"/>
                <w:highlight w:val="none"/>
              </w:rPr>
              <w:t>以来</w:t>
            </w:r>
            <w:r>
              <w:rPr>
                <w:rFonts w:hint="eastAsia" w:ascii="仿宋_GB2312" w:hAnsi="仿宋_GB2312" w:eastAsia="仿宋_GB2312" w:cs="仿宋_GB2312"/>
                <w:kern w:val="0"/>
                <w:szCs w:val="21"/>
                <w:highlight w:val="none"/>
                <w:lang w:val="en-US" w:eastAsia="zh-CN"/>
              </w:rPr>
              <w:t>电磁阀</w:t>
            </w:r>
            <w:r>
              <w:rPr>
                <w:rFonts w:hint="eastAsia" w:ascii="仿宋_GB2312" w:hAnsi="仿宋_GB2312" w:eastAsia="仿宋_GB2312" w:cs="仿宋_GB2312"/>
                <w:kern w:val="0"/>
                <w:szCs w:val="21"/>
                <w:highlight w:val="none"/>
              </w:rPr>
              <w:t>的省级法</w:t>
            </w:r>
            <w:r>
              <w:rPr>
                <w:rFonts w:hint="eastAsia" w:ascii="仿宋_GB2312" w:hAnsi="仿宋_GB2312" w:eastAsia="仿宋_GB2312" w:cs="仿宋_GB2312"/>
                <w:kern w:val="0"/>
                <w:szCs w:val="21"/>
                <w:highlight w:val="none"/>
                <w:lang w:val="en-US" w:eastAsia="zh-CN"/>
              </w:rPr>
              <w:t>第三方检测机构出具的电磁阀</w:t>
            </w:r>
            <w:r>
              <w:rPr>
                <w:rFonts w:hint="eastAsia" w:ascii="仿宋_GB2312" w:hAnsi="仿宋_GB2312" w:eastAsia="仿宋_GB2312" w:cs="仿宋_GB2312"/>
                <w:kern w:val="0"/>
                <w:szCs w:val="21"/>
                <w:highlight w:val="none"/>
              </w:rPr>
              <w:t>检测报告</w:t>
            </w:r>
            <w:r>
              <w:rPr>
                <w:rFonts w:hint="eastAsia" w:ascii="仿宋_GB2312" w:hAnsi="仿宋_GB2312" w:eastAsia="仿宋_GB2312" w:cs="仿宋_GB2312"/>
                <w:kern w:val="0"/>
                <w:szCs w:val="21"/>
                <w:highlight w:val="none"/>
                <w:lang w:val="en-US" w:eastAsia="zh-CN"/>
              </w:rPr>
              <w:t>复印件</w:t>
            </w:r>
            <w:r>
              <w:rPr>
                <w:rFonts w:hint="eastAsia" w:ascii="仿宋_GB2312" w:hAnsi="仿宋_GB2312" w:eastAsia="仿宋_GB2312" w:cs="仿宋_GB2312"/>
                <w:kern w:val="0"/>
                <w:szCs w:val="21"/>
                <w:highlight w:val="none"/>
              </w:rPr>
              <w:t>（同一规格只可提供一份省级报告），每个规格得</w:t>
            </w:r>
            <w:r>
              <w:rPr>
                <w:rFonts w:ascii="仿宋_GB2312" w:hAnsi="仿宋_GB2312" w:eastAsia="仿宋_GB2312" w:cs="仿宋_GB2312"/>
                <w:kern w:val="0"/>
                <w:szCs w:val="21"/>
                <w:highlight w:val="none"/>
              </w:rPr>
              <w:t>1</w:t>
            </w:r>
            <w:r>
              <w:rPr>
                <w:rFonts w:hint="eastAsia" w:ascii="仿宋_GB2312" w:hAnsi="仿宋_GB2312" w:eastAsia="仿宋_GB2312" w:cs="仿宋_GB2312"/>
                <w:kern w:val="0"/>
                <w:szCs w:val="21"/>
                <w:highlight w:val="none"/>
              </w:rPr>
              <w:t>分，最多的</w:t>
            </w:r>
            <w:r>
              <w:rPr>
                <w:rFonts w:ascii="仿宋_GB2312" w:hAnsi="仿宋_GB2312" w:eastAsia="仿宋_GB2312" w:cs="仿宋_GB2312"/>
                <w:kern w:val="0"/>
                <w:szCs w:val="21"/>
                <w:highlight w:val="none"/>
              </w:rPr>
              <w:t>3</w:t>
            </w:r>
            <w:r>
              <w:rPr>
                <w:rFonts w:hint="eastAsia" w:ascii="仿宋_GB2312" w:hAnsi="仿宋_GB2312" w:eastAsia="仿宋_GB2312" w:cs="仿宋_GB2312"/>
                <w:kern w:val="0"/>
                <w:szCs w:val="21"/>
                <w:highlight w:val="none"/>
              </w:rPr>
              <w:t>分；提供</w:t>
            </w:r>
            <w:r>
              <w:rPr>
                <w:rFonts w:hint="eastAsia" w:ascii="仿宋_GB2312" w:hAnsi="仿宋_GB2312" w:eastAsia="仿宋_GB2312" w:cs="仿宋_GB2312"/>
                <w:kern w:val="0"/>
                <w:szCs w:val="21"/>
                <w:highlight w:val="none"/>
                <w:lang w:val="en-US" w:eastAsia="zh-CN"/>
              </w:rPr>
              <w:t>电磁阀厂家近三年</w:t>
            </w:r>
            <w:r>
              <w:rPr>
                <w:rFonts w:ascii="仿宋_GB2312" w:hAnsi="仿宋_GB2312" w:eastAsia="仿宋_GB2312" w:cs="仿宋_GB2312"/>
                <w:kern w:val="0"/>
                <w:szCs w:val="21"/>
                <w:highlight w:val="none"/>
              </w:rPr>
              <w:t>以来</w:t>
            </w:r>
            <w:r>
              <w:rPr>
                <w:rFonts w:hint="eastAsia" w:ascii="仿宋_GB2312" w:hAnsi="仿宋_GB2312" w:eastAsia="仿宋_GB2312" w:cs="仿宋_GB2312"/>
                <w:kern w:val="0"/>
                <w:szCs w:val="21"/>
                <w:highlight w:val="none"/>
                <w:lang w:val="en-US" w:eastAsia="zh-CN"/>
              </w:rPr>
              <w:t>电磁阀</w:t>
            </w:r>
            <w:r>
              <w:rPr>
                <w:rFonts w:hint="eastAsia" w:ascii="仿宋_GB2312" w:hAnsi="仿宋_GB2312" w:eastAsia="仿宋_GB2312" w:cs="仿宋_GB2312"/>
                <w:kern w:val="0"/>
                <w:szCs w:val="21"/>
                <w:highlight w:val="none"/>
              </w:rPr>
              <w:t>的省级法</w:t>
            </w:r>
            <w:r>
              <w:rPr>
                <w:rFonts w:hint="eastAsia" w:ascii="仿宋_GB2312" w:hAnsi="仿宋_GB2312" w:eastAsia="仿宋_GB2312" w:cs="仿宋_GB2312"/>
                <w:kern w:val="0"/>
                <w:szCs w:val="21"/>
                <w:highlight w:val="none"/>
                <w:lang w:val="en-US" w:eastAsia="zh-CN"/>
              </w:rPr>
              <w:t>第三方检测机构出具的电磁阀</w:t>
            </w:r>
            <w:r>
              <w:rPr>
                <w:rFonts w:hint="eastAsia" w:ascii="仿宋_GB2312" w:hAnsi="仿宋_GB2312" w:eastAsia="仿宋_GB2312" w:cs="仿宋_GB2312"/>
                <w:kern w:val="0"/>
                <w:szCs w:val="21"/>
                <w:highlight w:val="none"/>
              </w:rPr>
              <w:t>检测报告</w:t>
            </w:r>
            <w:r>
              <w:rPr>
                <w:rFonts w:hint="eastAsia" w:ascii="仿宋_GB2312" w:hAnsi="仿宋_GB2312" w:eastAsia="仿宋_GB2312" w:cs="仿宋_GB2312"/>
                <w:kern w:val="0"/>
                <w:szCs w:val="21"/>
                <w:highlight w:val="none"/>
                <w:lang w:val="en-US" w:eastAsia="zh-CN"/>
              </w:rPr>
              <w:t>复印件</w:t>
            </w:r>
            <w:r>
              <w:rPr>
                <w:rFonts w:hint="eastAsia" w:ascii="仿宋_GB2312" w:hAnsi="仿宋_GB2312" w:eastAsia="仿宋_GB2312" w:cs="仿宋_GB2312"/>
                <w:kern w:val="0"/>
                <w:szCs w:val="21"/>
                <w:highlight w:val="none"/>
              </w:rPr>
              <w:t>（同一规格只可提供一份国家级报告），每个规格得</w:t>
            </w:r>
            <w:r>
              <w:rPr>
                <w:rFonts w:ascii="仿宋_GB2312" w:hAnsi="仿宋_GB2312" w:eastAsia="仿宋_GB2312" w:cs="仿宋_GB2312"/>
                <w:kern w:val="0"/>
                <w:szCs w:val="21"/>
                <w:highlight w:val="none"/>
              </w:rPr>
              <w:t>2</w:t>
            </w:r>
            <w:r>
              <w:rPr>
                <w:rFonts w:hint="eastAsia" w:ascii="仿宋_GB2312" w:hAnsi="仿宋_GB2312" w:eastAsia="仿宋_GB2312" w:cs="仿宋_GB2312"/>
                <w:kern w:val="0"/>
                <w:szCs w:val="21"/>
                <w:highlight w:val="none"/>
              </w:rPr>
              <w:t>分，最多的</w:t>
            </w:r>
            <w:r>
              <w:rPr>
                <w:rFonts w:ascii="仿宋_GB2312" w:hAnsi="仿宋_GB2312" w:eastAsia="仿宋_GB2312" w:cs="仿宋_GB2312"/>
                <w:kern w:val="0"/>
                <w:szCs w:val="21"/>
                <w:highlight w:val="none"/>
              </w:rPr>
              <w:t>6</w:t>
            </w:r>
            <w:r>
              <w:rPr>
                <w:rFonts w:hint="eastAsia" w:ascii="仿宋_GB2312" w:hAnsi="仿宋_GB2312" w:eastAsia="仿宋_GB2312" w:cs="仿宋_GB2312"/>
                <w:kern w:val="0"/>
                <w:szCs w:val="21"/>
                <w:highlight w:val="none"/>
              </w:rPr>
              <w:t>分；总得分最多得</w:t>
            </w:r>
            <w:r>
              <w:rPr>
                <w:rFonts w:ascii="仿宋_GB2312" w:hAnsi="仿宋_GB2312" w:eastAsia="仿宋_GB2312" w:cs="仿宋_GB2312"/>
                <w:kern w:val="0"/>
                <w:szCs w:val="21"/>
                <w:highlight w:val="none"/>
              </w:rPr>
              <w:t>6</w:t>
            </w:r>
            <w:r>
              <w:rPr>
                <w:rFonts w:hint="eastAsia" w:ascii="仿宋_GB2312" w:hAnsi="仿宋_GB2312" w:eastAsia="仿宋_GB2312" w:cs="仿宋_GB2312"/>
                <w:kern w:val="0"/>
                <w:szCs w:val="21"/>
                <w:highlight w:val="none"/>
              </w:rPr>
              <w:t>分，成交后原件备查</w:t>
            </w:r>
          </w:p>
        </w:tc>
      </w:tr>
      <w:tr>
        <w:tblPrEx>
          <w:tblCellMar>
            <w:top w:w="0" w:type="dxa"/>
            <w:left w:w="108" w:type="dxa"/>
            <w:bottom w:w="0" w:type="dxa"/>
            <w:right w:w="108" w:type="dxa"/>
          </w:tblCellMar>
        </w:tblPrEx>
        <w:trPr>
          <w:trHeight w:val="558" w:hRule="atLeast"/>
          <w:jc w:val="center"/>
        </w:trPr>
        <w:tc>
          <w:tcPr>
            <w:tcW w:w="0" w:type="auto"/>
            <w:tcBorders>
              <w:top w:val="nil"/>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color w:val="000000"/>
                <w:kern w:val="0"/>
                <w:szCs w:val="21"/>
                <w:highlight w:val="none"/>
              </w:rPr>
            </w:pPr>
            <w:r>
              <w:rPr>
                <w:rFonts w:hint="eastAsia" w:ascii="仿宋_GB2312" w:hAnsi="仿宋_GB2312" w:eastAsia="仿宋_GB2312" w:cs="仿宋_GB2312"/>
                <w:color w:val="000000"/>
                <w:kern w:val="0"/>
                <w:szCs w:val="21"/>
                <w:highlight w:val="none"/>
              </w:rPr>
              <w:t>2</w:t>
            </w:r>
          </w:p>
        </w:tc>
        <w:tc>
          <w:tcPr>
            <w:tcW w:w="0" w:type="auto"/>
            <w:tcBorders>
              <w:top w:val="nil"/>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color w:val="000000"/>
                <w:kern w:val="0"/>
                <w:szCs w:val="21"/>
                <w:highlight w:val="none"/>
              </w:rPr>
            </w:pPr>
            <w:r>
              <w:rPr>
                <w:rFonts w:hint="eastAsia" w:ascii="仿宋_GB2312" w:hAnsi="仿宋_GB2312" w:eastAsia="仿宋_GB2312" w:cs="仿宋_GB2312"/>
                <w:color w:val="000000"/>
                <w:kern w:val="0"/>
                <w:szCs w:val="21"/>
                <w:highlight w:val="none"/>
              </w:rPr>
              <w:t>企业实力（</w:t>
            </w:r>
            <w:r>
              <w:rPr>
                <w:rFonts w:hint="eastAsia" w:ascii="仿宋_GB2312" w:hAnsi="仿宋_GB2312" w:eastAsia="仿宋_GB2312" w:cs="仿宋_GB2312"/>
                <w:color w:val="000000"/>
                <w:kern w:val="0"/>
                <w:szCs w:val="21"/>
                <w:highlight w:val="none"/>
                <w:lang w:val="en-US" w:eastAsia="zh-CN"/>
              </w:rPr>
              <w:t>9</w:t>
            </w:r>
            <w:r>
              <w:rPr>
                <w:rFonts w:hint="eastAsia" w:ascii="仿宋_GB2312" w:hAnsi="仿宋_GB2312" w:eastAsia="仿宋_GB2312" w:cs="仿宋_GB2312"/>
                <w:color w:val="000000"/>
                <w:kern w:val="0"/>
                <w:szCs w:val="21"/>
                <w:highlight w:val="none"/>
              </w:rPr>
              <w:t>）</w:t>
            </w:r>
          </w:p>
        </w:tc>
        <w:tc>
          <w:tcPr>
            <w:tcW w:w="0" w:type="auto"/>
            <w:tcBorders>
              <w:top w:val="nil"/>
              <w:left w:val="nil"/>
              <w:bottom w:val="single" w:color="auto" w:sz="4" w:space="0"/>
              <w:right w:val="single" w:color="auto" w:sz="4" w:space="0"/>
            </w:tcBorders>
            <w:noWrap/>
            <w:vAlign w:val="center"/>
          </w:tcPr>
          <w:p>
            <w:pPr>
              <w:spacing w:line="400" w:lineRule="exact"/>
              <w:jc w:val="center"/>
              <w:rPr>
                <w:rFonts w:hint="default" w:ascii="仿宋_GB2312" w:hAnsi="仿宋_GB2312" w:eastAsia="仿宋_GB2312" w:cs="仿宋_GB2312"/>
                <w:bCs/>
                <w:spacing w:val="10"/>
                <w:kern w:val="0"/>
                <w:szCs w:val="21"/>
                <w:highlight w:val="none"/>
                <w:lang w:val="en-US" w:eastAsia="zh-CN"/>
              </w:rPr>
            </w:pPr>
            <w:r>
              <w:rPr>
                <w:rFonts w:hint="eastAsia" w:ascii="仿宋_GB2312" w:hAnsi="仿宋_GB2312" w:eastAsia="仿宋_GB2312" w:cs="仿宋_GB2312"/>
                <w:bCs/>
                <w:spacing w:val="10"/>
                <w:kern w:val="0"/>
                <w:szCs w:val="21"/>
                <w:highlight w:val="none"/>
                <w:lang w:val="en-US" w:eastAsia="zh-CN"/>
              </w:rPr>
              <w:t>9</w:t>
            </w:r>
          </w:p>
        </w:tc>
        <w:tc>
          <w:tcPr>
            <w:tcW w:w="0" w:type="auto"/>
            <w:tcBorders>
              <w:top w:val="nil"/>
              <w:left w:val="nil"/>
              <w:bottom w:val="single" w:color="auto" w:sz="4" w:space="0"/>
              <w:right w:val="single" w:color="auto" w:sz="4" w:space="0"/>
            </w:tcBorders>
            <w:noWrap w:val="0"/>
            <w:vAlign w:val="center"/>
          </w:tcPr>
          <w:p>
            <w:pPr>
              <w:spacing w:line="400" w:lineRule="exact"/>
              <w:jc w:val="left"/>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lang w:val="en-US" w:eastAsia="zh-CN"/>
              </w:rPr>
              <w:t>电磁流量计或电磁阀的品牌厂家</w:t>
            </w:r>
            <w:r>
              <w:rPr>
                <w:rFonts w:hint="eastAsia" w:ascii="仿宋_GB2312" w:hAnsi="仿宋_GB2312" w:eastAsia="仿宋_GB2312" w:cs="仿宋_GB2312"/>
                <w:kern w:val="0"/>
                <w:szCs w:val="21"/>
                <w:highlight w:val="none"/>
              </w:rPr>
              <w:t>具备</w:t>
            </w:r>
            <w:r>
              <w:rPr>
                <w:rFonts w:hint="eastAsia" w:ascii="仿宋_GB2312" w:hAnsi="仿宋_GB2312" w:eastAsia="仿宋_GB2312" w:cs="仿宋_GB2312"/>
                <w:kern w:val="0"/>
                <w:szCs w:val="21"/>
                <w:highlight w:val="none"/>
                <w:lang w:val="en-US" w:eastAsia="zh-CN"/>
              </w:rPr>
              <w:t>4</w:t>
            </w:r>
            <w:r>
              <w:rPr>
                <w:rFonts w:hint="eastAsia" w:ascii="仿宋_GB2312" w:hAnsi="仿宋_GB2312" w:eastAsia="仿宋_GB2312" w:cs="仿宋_GB2312"/>
                <w:kern w:val="0"/>
                <w:szCs w:val="21"/>
                <w:highlight w:val="none"/>
              </w:rPr>
              <w:t>项相关的软件著作权</w:t>
            </w:r>
            <w:r>
              <w:rPr>
                <w:rFonts w:hint="eastAsia" w:ascii="仿宋_GB2312" w:hAnsi="仿宋_GB2312" w:eastAsia="仿宋_GB2312" w:cs="仿宋_GB2312"/>
                <w:kern w:val="0"/>
                <w:szCs w:val="21"/>
                <w:highlight w:val="none"/>
                <w:lang w:eastAsia="zh-CN"/>
              </w:rPr>
              <w:t>，</w:t>
            </w:r>
            <w:r>
              <w:rPr>
                <w:rFonts w:hint="eastAsia" w:ascii="仿宋_GB2312" w:hAnsi="仿宋_GB2312" w:eastAsia="仿宋_GB2312" w:cs="仿宋_GB2312"/>
                <w:kern w:val="0"/>
                <w:szCs w:val="21"/>
                <w:highlight w:val="none"/>
                <w:lang w:val="en-US" w:eastAsia="zh-CN"/>
              </w:rPr>
              <w:t>同时提供流量计和电磁阀厂家软件著作各4项的得3分，单独提供流量计或电磁阀软件著作4项的得1分</w:t>
            </w:r>
            <w:r>
              <w:rPr>
                <w:rFonts w:hint="eastAsia" w:ascii="仿宋_GB2312" w:hAnsi="仿宋_GB2312" w:eastAsia="仿宋_GB2312" w:cs="仿宋_GB2312"/>
                <w:kern w:val="0"/>
                <w:szCs w:val="21"/>
                <w:highlight w:val="none"/>
              </w:rPr>
              <w:t>，成交后原件备查</w:t>
            </w:r>
          </w:p>
          <w:p>
            <w:pPr>
              <w:spacing w:line="400" w:lineRule="exact"/>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lang w:val="en-US" w:eastAsia="zh-CN"/>
              </w:rPr>
              <w:t>所报产品整机防护等级达到IP68：测试时间大于24小时，得1分； 96小时的，得2分，须提供省级及以上法定计量部门或省级及以上法定计量部门授权的第三方检测机构出具的检验报告复印件，</w:t>
            </w:r>
            <w:r>
              <w:rPr>
                <w:rFonts w:hint="eastAsia" w:ascii="仿宋_GB2312" w:hAnsi="仿宋_GB2312" w:eastAsia="仿宋_GB2312" w:cs="仿宋_GB2312"/>
                <w:kern w:val="0"/>
                <w:szCs w:val="21"/>
                <w:highlight w:val="none"/>
              </w:rPr>
              <w:t>成交后原件备查</w:t>
            </w:r>
          </w:p>
          <w:p>
            <w:pPr>
              <w:spacing w:line="400" w:lineRule="exact"/>
              <w:jc w:val="left"/>
              <w:rPr>
                <w:rFonts w:hint="eastAsia" w:eastAsia="仿宋_GB2312"/>
                <w:highlight w:val="none"/>
                <w:lang w:val="en-US" w:eastAsia="zh-CN"/>
              </w:rPr>
            </w:pPr>
            <w:r>
              <w:rPr>
                <w:rFonts w:hint="eastAsia" w:ascii="仿宋_GB2312" w:hAnsi="仿宋_GB2312" w:eastAsia="仿宋_GB2312" w:cs="仿宋_GB2312"/>
                <w:b/>
                <w:bCs/>
                <w:kern w:val="0"/>
                <w:szCs w:val="21"/>
                <w:highlight w:val="none"/>
                <w:lang w:eastAsia="zh-CN"/>
              </w:rPr>
              <w:t>报价人</w:t>
            </w:r>
            <w:r>
              <w:rPr>
                <w:rFonts w:hint="eastAsia" w:ascii="仿宋_GB2312" w:hAnsi="仿宋_GB2312" w:eastAsia="仿宋_GB2312" w:cs="仿宋_GB2312"/>
                <w:b/>
                <w:bCs/>
                <w:kern w:val="0"/>
                <w:szCs w:val="21"/>
                <w:highlight w:val="none"/>
                <w:lang w:val="en-US" w:eastAsia="zh-CN"/>
              </w:rPr>
              <w:t>自身</w:t>
            </w:r>
            <w:r>
              <w:rPr>
                <w:rFonts w:hint="eastAsia" w:ascii="仿宋_GB2312" w:hAnsi="仿宋_GB2312" w:eastAsia="仿宋_GB2312" w:cs="仿宋_GB2312"/>
                <w:b/>
                <w:bCs/>
                <w:kern w:val="0"/>
                <w:szCs w:val="21"/>
                <w:highlight w:val="none"/>
                <w:lang w:eastAsia="zh-CN"/>
              </w:rPr>
              <w:t>具备软件开发能力</w:t>
            </w:r>
            <w:r>
              <w:rPr>
                <w:rFonts w:hint="eastAsia" w:ascii="仿宋_GB2312" w:hAnsi="仿宋_GB2312" w:eastAsia="仿宋_GB2312" w:cs="仿宋_GB2312"/>
                <w:b/>
                <w:bCs/>
                <w:kern w:val="0"/>
                <w:szCs w:val="21"/>
                <w:highlight w:val="none"/>
                <w:lang w:val="en-US" w:eastAsia="zh-CN"/>
              </w:rPr>
              <w:t>得4分</w:t>
            </w:r>
            <w:r>
              <w:rPr>
                <w:rFonts w:hint="eastAsia" w:ascii="仿宋_GB2312" w:hAnsi="仿宋_GB2312" w:eastAsia="仿宋_GB2312" w:cs="仿宋_GB2312"/>
                <w:b/>
                <w:bCs/>
                <w:kern w:val="0"/>
                <w:szCs w:val="21"/>
                <w:highlight w:val="none"/>
                <w:lang w:eastAsia="zh-CN"/>
              </w:rPr>
              <w:t>，提供软件成熟度等级证书复印件</w:t>
            </w:r>
          </w:p>
        </w:tc>
      </w:tr>
      <w:tr>
        <w:tblPrEx>
          <w:tblCellMar>
            <w:top w:w="0" w:type="dxa"/>
            <w:left w:w="108" w:type="dxa"/>
            <w:bottom w:w="0" w:type="dxa"/>
            <w:right w:w="108" w:type="dxa"/>
          </w:tblCellMar>
        </w:tblPrEx>
        <w:trPr>
          <w:trHeight w:val="558" w:hRule="atLeast"/>
          <w:jc w:val="center"/>
        </w:trPr>
        <w:tc>
          <w:tcPr>
            <w:tcW w:w="0" w:type="auto"/>
            <w:tcBorders>
              <w:top w:val="nil"/>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color w:val="000000"/>
                <w:kern w:val="0"/>
                <w:szCs w:val="21"/>
                <w:highlight w:val="none"/>
                <w:lang w:val="en-US" w:eastAsia="zh-CN"/>
              </w:rPr>
            </w:pPr>
            <w:r>
              <w:rPr>
                <w:rFonts w:hint="eastAsia" w:ascii="仿宋_GB2312" w:hAnsi="仿宋_GB2312" w:eastAsia="仿宋_GB2312" w:cs="仿宋_GB2312"/>
                <w:color w:val="000000"/>
                <w:kern w:val="0"/>
                <w:szCs w:val="21"/>
                <w:highlight w:val="none"/>
                <w:lang w:val="en-US" w:eastAsia="zh-CN"/>
              </w:rPr>
              <w:t>3</w:t>
            </w:r>
          </w:p>
        </w:tc>
        <w:tc>
          <w:tcPr>
            <w:tcW w:w="0" w:type="auto"/>
            <w:tcBorders>
              <w:top w:val="nil"/>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color w:val="000000"/>
                <w:kern w:val="0"/>
                <w:szCs w:val="21"/>
                <w:highlight w:val="none"/>
                <w:lang w:val="en-US" w:eastAsia="zh-CN"/>
              </w:rPr>
            </w:pPr>
            <w:r>
              <w:rPr>
                <w:rFonts w:hint="eastAsia" w:ascii="仿宋_GB2312" w:hAnsi="仿宋_GB2312" w:eastAsia="仿宋_GB2312" w:cs="仿宋_GB2312"/>
                <w:color w:val="000000"/>
                <w:kern w:val="0"/>
                <w:szCs w:val="21"/>
                <w:highlight w:val="none"/>
                <w:lang w:val="en-US" w:eastAsia="zh-CN"/>
              </w:rPr>
              <w:t>企业业绩（10）</w:t>
            </w:r>
          </w:p>
        </w:tc>
        <w:tc>
          <w:tcPr>
            <w:tcW w:w="0" w:type="auto"/>
            <w:tcBorders>
              <w:top w:val="nil"/>
              <w:left w:val="nil"/>
              <w:bottom w:val="single" w:color="auto" w:sz="4" w:space="0"/>
              <w:right w:val="single" w:color="auto" w:sz="4" w:space="0"/>
            </w:tcBorders>
            <w:noWrap/>
            <w:vAlign w:val="center"/>
          </w:tcPr>
          <w:p>
            <w:pPr>
              <w:spacing w:line="400" w:lineRule="exact"/>
              <w:jc w:val="center"/>
              <w:rPr>
                <w:rFonts w:hint="default" w:ascii="仿宋_GB2312" w:hAnsi="仿宋_GB2312" w:eastAsia="仿宋_GB2312" w:cs="仿宋_GB2312"/>
                <w:bCs/>
                <w:spacing w:val="10"/>
                <w:kern w:val="0"/>
                <w:szCs w:val="21"/>
                <w:highlight w:val="none"/>
                <w:lang w:val="en-US" w:eastAsia="zh-CN"/>
              </w:rPr>
            </w:pPr>
            <w:r>
              <w:rPr>
                <w:rFonts w:hint="eastAsia" w:ascii="仿宋_GB2312" w:hAnsi="仿宋_GB2312" w:eastAsia="仿宋_GB2312" w:cs="仿宋_GB2312"/>
                <w:bCs/>
                <w:spacing w:val="10"/>
                <w:kern w:val="0"/>
                <w:szCs w:val="21"/>
                <w:highlight w:val="none"/>
                <w:lang w:val="en-US" w:eastAsia="zh-CN"/>
              </w:rPr>
              <w:t>10</w:t>
            </w:r>
          </w:p>
        </w:tc>
        <w:tc>
          <w:tcPr>
            <w:tcW w:w="0" w:type="auto"/>
            <w:tcBorders>
              <w:top w:val="nil"/>
              <w:left w:val="nil"/>
              <w:bottom w:val="single" w:color="auto" w:sz="4" w:space="0"/>
              <w:right w:val="single" w:color="auto" w:sz="4" w:space="0"/>
            </w:tcBorders>
            <w:noWrap w:val="0"/>
            <w:vAlign w:val="center"/>
          </w:tcPr>
          <w:p>
            <w:pPr>
              <w:spacing w:line="400" w:lineRule="exact"/>
              <w:jc w:val="left"/>
              <w:rPr>
                <w:rFonts w:hint="eastAsia"/>
                <w:highlight w:val="none"/>
                <w:lang w:eastAsia="zh-CN"/>
              </w:rPr>
            </w:pPr>
            <w:r>
              <w:rPr>
                <w:rFonts w:hint="eastAsia" w:ascii="仿宋_GB2312" w:hAnsi="仿宋_GB2312" w:eastAsia="仿宋_GB2312" w:cs="仿宋_GB2312"/>
                <w:kern w:val="0"/>
                <w:szCs w:val="21"/>
                <w:highlight w:val="none"/>
                <w:lang w:eastAsia="zh-CN"/>
              </w:rPr>
              <w:t>提供</w:t>
            </w:r>
            <w:r>
              <w:rPr>
                <w:rFonts w:hint="eastAsia" w:ascii="仿宋_GB2312" w:hAnsi="仿宋_GB2312" w:eastAsia="仿宋_GB2312" w:cs="仿宋_GB2312"/>
                <w:kern w:val="0"/>
                <w:szCs w:val="21"/>
                <w:highlight w:val="none"/>
                <w:lang w:val="en-US" w:eastAsia="zh-CN"/>
              </w:rPr>
              <w:t>3</w:t>
            </w:r>
            <w:r>
              <w:rPr>
                <w:rFonts w:hint="eastAsia" w:ascii="仿宋_GB2312" w:hAnsi="仿宋_GB2312" w:eastAsia="仿宋_GB2312" w:cs="仿宋_GB2312"/>
                <w:kern w:val="0"/>
                <w:szCs w:val="21"/>
                <w:highlight w:val="none"/>
                <w:lang w:eastAsia="zh-CN"/>
              </w:rPr>
              <w:t>份</w:t>
            </w:r>
            <w:r>
              <w:rPr>
                <w:rFonts w:hint="eastAsia" w:ascii="仿宋_GB2312" w:hAnsi="仿宋_GB2312" w:eastAsia="仿宋_GB2312" w:cs="仿宋_GB2312"/>
                <w:kern w:val="0"/>
                <w:szCs w:val="21"/>
                <w:highlight w:val="none"/>
                <w:lang w:val="en-US" w:eastAsia="zh-CN"/>
              </w:rPr>
              <w:t>流量计厂家近两年</w:t>
            </w:r>
            <w:r>
              <w:rPr>
                <w:rFonts w:hint="eastAsia" w:ascii="仿宋_GB2312" w:hAnsi="仿宋_GB2312" w:eastAsia="仿宋_GB2312" w:cs="仿宋_GB2312"/>
                <w:kern w:val="0"/>
                <w:szCs w:val="21"/>
                <w:highlight w:val="none"/>
                <w:lang w:eastAsia="zh-CN"/>
              </w:rPr>
              <w:t>单项销售合同中含</w:t>
            </w:r>
            <w:r>
              <w:rPr>
                <w:rFonts w:hint="eastAsia" w:ascii="仿宋_GB2312" w:hAnsi="仿宋_GB2312" w:eastAsia="仿宋_GB2312" w:cs="仿宋_GB2312"/>
                <w:kern w:val="0"/>
                <w:szCs w:val="21"/>
                <w:highlight w:val="none"/>
                <w:lang w:val="en-US" w:eastAsia="zh-CN"/>
              </w:rPr>
              <w:t>DN100或以上电磁流量计</w:t>
            </w:r>
            <w:r>
              <w:rPr>
                <w:rFonts w:hint="eastAsia" w:ascii="仿宋_GB2312" w:hAnsi="仿宋_GB2312" w:eastAsia="仿宋_GB2312" w:cs="仿宋_GB2312"/>
                <w:kern w:val="0"/>
                <w:szCs w:val="21"/>
                <w:highlight w:val="none"/>
                <w:lang w:eastAsia="zh-CN"/>
              </w:rPr>
              <w:t>的销售业绩，如业绩与满足资格审查要求的业绩为同一业绩，则该业绩不得分，</w:t>
            </w:r>
            <w:r>
              <w:rPr>
                <w:rFonts w:hint="eastAsia" w:ascii="仿宋_GB2312" w:hAnsi="仿宋_GB2312" w:eastAsia="仿宋_GB2312" w:cs="仿宋_GB2312"/>
                <w:kern w:val="0"/>
                <w:szCs w:val="21"/>
                <w:highlight w:val="none"/>
                <w:lang w:val="en-US" w:eastAsia="zh-CN"/>
              </w:rPr>
              <w:t>250</w:t>
            </w:r>
            <w:r>
              <w:rPr>
                <w:rFonts w:hint="eastAsia" w:ascii="仿宋_GB2312" w:hAnsi="仿宋_GB2312" w:eastAsia="仿宋_GB2312" w:cs="仿宋_GB2312"/>
                <w:kern w:val="0"/>
                <w:szCs w:val="21"/>
                <w:highlight w:val="none"/>
                <w:lang w:eastAsia="zh-CN"/>
              </w:rPr>
              <w:t>万元（含</w:t>
            </w:r>
            <w:r>
              <w:rPr>
                <w:rFonts w:hint="eastAsia" w:ascii="仿宋_GB2312" w:hAnsi="仿宋_GB2312" w:eastAsia="仿宋_GB2312" w:cs="仿宋_GB2312"/>
                <w:kern w:val="0"/>
                <w:szCs w:val="21"/>
                <w:highlight w:val="none"/>
                <w:lang w:val="en-US" w:eastAsia="zh-CN"/>
              </w:rPr>
              <w:t>250</w:t>
            </w:r>
            <w:r>
              <w:rPr>
                <w:rFonts w:hint="eastAsia" w:ascii="仿宋_GB2312" w:hAnsi="仿宋_GB2312" w:eastAsia="仿宋_GB2312" w:cs="仿宋_GB2312"/>
                <w:kern w:val="0"/>
                <w:szCs w:val="21"/>
                <w:highlight w:val="none"/>
                <w:lang w:eastAsia="zh-CN"/>
              </w:rPr>
              <w:t>万元）至</w:t>
            </w:r>
            <w:r>
              <w:rPr>
                <w:rFonts w:hint="eastAsia" w:ascii="仿宋_GB2312" w:hAnsi="仿宋_GB2312" w:eastAsia="仿宋_GB2312" w:cs="仿宋_GB2312"/>
                <w:kern w:val="0"/>
                <w:szCs w:val="21"/>
                <w:highlight w:val="none"/>
                <w:lang w:val="en-US" w:eastAsia="zh-CN"/>
              </w:rPr>
              <w:t>400</w:t>
            </w:r>
            <w:r>
              <w:rPr>
                <w:rFonts w:hint="eastAsia" w:ascii="仿宋_GB2312" w:hAnsi="仿宋_GB2312" w:eastAsia="仿宋_GB2312" w:cs="仿宋_GB2312"/>
                <w:kern w:val="0"/>
                <w:szCs w:val="21"/>
                <w:highlight w:val="none"/>
                <w:lang w:eastAsia="zh-CN"/>
              </w:rPr>
              <w:t>万元的类似业绩，每提供一份得</w:t>
            </w:r>
            <w:r>
              <w:rPr>
                <w:rFonts w:hint="eastAsia" w:ascii="仿宋_GB2312" w:hAnsi="仿宋_GB2312" w:eastAsia="仿宋_GB2312" w:cs="仿宋_GB2312"/>
                <w:kern w:val="0"/>
                <w:szCs w:val="21"/>
                <w:highlight w:val="none"/>
                <w:lang w:val="en-US" w:eastAsia="zh-CN"/>
              </w:rPr>
              <w:t>1</w:t>
            </w:r>
            <w:r>
              <w:rPr>
                <w:rFonts w:hint="eastAsia" w:ascii="仿宋_GB2312" w:hAnsi="仿宋_GB2312" w:eastAsia="仿宋_GB2312" w:cs="仿宋_GB2312"/>
                <w:kern w:val="0"/>
                <w:szCs w:val="21"/>
                <w:highlight w:val="none"/>
                <w:lang w:eastAsia="zh-CN"/>
              </w:rPr>
              <w:t>分；</w:t>
            </w:r>
            <w:r>
              <w:rPr>
                <w:rFonts w:hint="eastAsia" w:ascii="仿宋_GB2312" w:hAnsi="仿宋_GB2312" w:eastAsia="仿宋_GB2312" w:cs="仿宋_GB2312"/>
                <w:kern w:val="0"/>
                <w:szCs w:val="21"/>
                <w:highlight w:val="none"/>
                <w:lang w:val="en-US" w:eastAsia="zh-CN"/>
              </w:rPr>
              <w:t>400</w:t>
            </w:r>
            <w:r>
              <w:rPr>
                <w:rFonts w:hint="eastAsia" w:ascii="仿宋_GB2312" w:hAnsi="仿宋_GB2312" w:eastAsia="仿宋_GB2312" w:cs="仿宋_GB2312"/>
                <w:kern w:val="0"/>
                <w:szCs w:val="21"/>
                <w:highlight w:val="none"/>
                <w:lang w:eastAsia="zh-CN"/>
              </w:rPr>
              <w:t>万元及以上类似业绩，每提供一份得</w:t>
            </w:r>
            <w:r>
              <w:rPr>
                <w:rFonts w:hint="eastAsia" w:ascii="仿宋_GB2312" w:hAnsi="仿宋_GB2312" w:eastAsia="仿宋_GB2312" w:cs="仿宋_GB2312"/>
                <w:kern w:val="0"/>
                <w:szCs w:val="21"/>
                <w:highlight w:val="none"/>
                <w:lang w:val="en-US" w:eastAsia="zh-CN"/>
              </w:rPr>
              <w:t>2</w:t>
            </w:r>
            <w:r>
              <w:rPr>
                <w:rFonts w:hint="eastAsia" w:ascii="仿宋_GB2312" w:hAnsi="仿宋_GB2312" w:eastAsia="仿宋_GB2312" w:cs="仿宋_GB2312"/>
                <w:kern w:val="0"/>
                <w:szCs w:val="21"/>
                <w:highlight w:val="none"/>
                <w:lang w:eastAsia="zh-CN"/>
              </w:rPr>
              <w:t>分；此项最多得</w:t>
            </w:r>
            <w:r>
              <w:rPr>
                <w:rFonts w:hint="eastAsia" w:ascii="仿宋_GB2312" w:hAnsi="仿宋_GB2312" w:eastAsia="仿宋_GB2312" w:cs="仿宋_GB2312"/>
                <w:kern w:val="0"/>
                <w:szCs w:val="21"/>
                <w:highlight w:val="none"/>
                <w:lang w:val="en-US" w:eastAsia="zh-CN"/>
              </w:rPr>
              <w:t>6</w:t>
            </w:r>
            <w:r>
              <w:rPr>
                <w:rFonts w:hint="eastAsia" w:ascii="仿宋_GB2312" w:hAnsi="仿宋_GB2312" w:eastAsia="仿宋_GB2312" w:cs="仿宋_GB2312"/>
                <w:kern w:val="0"/>
                <w:szCs w:val="21"/>
                <w:highlight w:val="none"/>
                <w:lang w:eastAsia="zh-CN"/>
              </w:rPr>
              <w:t>分。</w:t>
            </w:r>
          </w:p>
          <w:p>
            <w:pPr>
              <w:spacing w:line="400" w:lineRule="exact"/>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eastAsia="zh-CN"/>
              </w:rPr>
              <w:t>提供</w:t>
            </w:r>
            <w:r>
              <w:rPr>
                <w:rFonts w:hint="eastAsia" w:ascii="仿宋_GB2312" w:hAnsi="仿宋_GB2312" w:eastAsia="仿宋_GB2312" w:cs="仿宋_GB2312"/>
                <w:kern w:val="0"/>
                <w:szCs w:val="21"/>
                <w:highlight w:val="none"/>
                <w:lang w:val="en-US" w:eastAsia="zh-CN"/>
              </w:rPr>
              <w:t>2</w:t>
            </w:r>
            <w:r>
              <w:rPr>
                <w:rFonts w:hint="eastAsia" w:ascii="仿宋_GB2312" w:hAnsi="仿宋_GB2312" w:eastAsia="仿宋_GB2312" w:cs="仿宋_GB2312"/>
                <w:kern w:val="0"/>
                <w:szCs w:val="21"/>
                <w:highlight w:val="none"/>
                <w:lang w:eastAsia="zh-CN"/>
              </w:rPr>
              <w:t>份</w:t>
            </w:r>
            <w:r>
              <w:rPr>
                <w:rFonts w:hint="eastAsia" w:ascii="仿宋_GB2312" w:hAnsi="仿宋_GB2312" w:eastAsia="仿宋_GB2312" w:cs="仿宋_GB2312"/>
                <w:kern w:val="0"/>
                <w:szCs w:val="21"/>
                <w:highlight w:val="none"/>
                <w:lang w:val="en-US" w:eastAsia="zh-CN"/>
              </w:rPr>
              <w:t>电磁阀厂家近两年</w:t>
            </w:r>
            <w:r>
              <w:rPr>
                <w:rFonts w:hint="eastAsia" w:ascii="仿宋_GB2312" w:hAnsi="仿宋_GB2312" w:eastAsia="仿宋_GB2312" w:cs="仿宋_GB2312"/>
                <w:kern w:val="0"/>
                <w:szCs w:val="21"/>
                <w:highlight w:val="none"/>
                <w:lang w:eastAsia="zh-CN"/>
              </w:rPr>
              <w:t>单项销售合同中含</w:t>
            </w:r>
            <w:r>
              <w:rPr>
                <w:rFonts w:hint="eastAsia" w:ascii="仿宋_GB2312" w:hAnsi="仿宋_GB2312" w:eastAsia="仿宋_GB2312" w:cs="仿宋_GB2312"/>
                <w:kern w:val="0"/>
                <w:szCs w:val="21"/>
                <w:highlight w:val="none"/>
                <w:lang w:val="en-US" w:eastAsia="zh-CN"/>
              </w:rPr>
              <w:t>DN100或以上电磁阀</w:t>
            </w:r>
            <w:r>
              <w:rPr>
                <w:rFonts w:hint="eastAsia" w:ascii="仿宋_GB2312" w:hAnsi="仿宋_GB2312" w:eastAsia="仿宋_GB2312" w:cs="仿宋_GB2312"/>
                <w:kern w:val="0"/>
                <w:szCs w:val="21"/>
                <w:highlight w:val="none"/>
                <w:lang w:eastAsia="zh-CN"/>
              </w:rPr>
              <w:t>的销售业绩，</w:t>
            </w:r>
            <w:r>
              <w:rPr>
                <w:rFonts w:hint="eastAsia" w:ascii="仿宋_GB2312" w:hAnsi="仿宋_GB2312" w:eastAsia="仿宋_GB2312" w:cs="仿宋_GB2312"/>
                <w:kern w:val="0"/>
                <w:szCs w:val="21"/>
                <w:highlight w:val="none"/>
                <w:lang w:val="en-US" w:eastAsia="zh-CN"/>
              </w:rPr>
              <w:t>200</w:t>
            </w:r>
            <w:r>
              <w:rPr>
                <w:rFonts w:hint="eastAsia" w:ascii="仿宋_GB2312" w:hAnsi="仿宋_GB2312" w:eastAsia="仿宋_GB2312" w:cs="仿宋_GB2312"/>
                <w:kern w:val="0"/>
                <w:szCs w:val="21"/>
                <w:highlight w:val="none"/>
                <w:lang w:eastAsia="zh-CN"/>
              </w:rPr>
              <w:t>万元（含</w:t>
            </w:r>
            <w:r>
              <w:rPr>
                <w:rFonts w:hint="eastAsia" w:ascii="仿宋_GB2312" w:hAnsi="仿宋_GB2312" w:eastAsia="仿宋_GB2312" w:cs="仿宋_GB2312"/>
                <w:kern w:val="0"/>
                <w:szCs w:val="21"/>
                <w:highlight w:val="none"/>
                <w:lang w:val="en-US" w:eastAsia="zh-CN"/>
              </w:rPr>
              <w:t>200</w:t>
            </w:r>
            <w:r>
              <w:rPr>
                <w:rFonts w:hint="eastAsia" w:ascii="仿宋_GB2312" w:hAnsi="仿宋_GB2312" w:eastAsia="仿宋_GB2312" w:cs="仿宋_GB2312"/>
                <w:kern w:val="0"/>
                <w:szCs w:val="21"/>
                <w:highlight w:val="none"/>
                <w:lang w:eastAsia="zh-CN"/>
              </w:rPr>
              <w:t>万元）至</w:t>
            </w:r>
            <w:r>
              <w:rPr>
                <w:rFonts w:hint="eastAsia" w:ascii="仿宋_GB2312" w:hAnsi="仿宋_GB2312" w:eastAsia="仿宋_GB2312" w:cs="仿宋_GB2312"/>
                <w:kern w:val="0"/>
                <w:szCs w:val="21"/>
                <w:highlight w:val="none"/>
                <w:lang w:val="en-US" w:eastAsia="zh-CN"/>
              </w:rPr>
              <w:t>400</w:t>
            </w:r>
            <w:r>
              <w:rPr>
                <w:rFonts w:hint="eastAsia" w:ascii="仿宋_GB2312" w:hAnsi="仿宋_GB2312" w:eastAsia="仿宋_GB2312" w:cs="仿宋_GB2312"/>
                <w:kern w:val="0"/>
                <w:szCs w:val="21"/>
                <w:highlight w:val="none"/>
                <w:lang w:eastAsia="zh-CN"/>
              </w:rPr>
              <w:t>万元的类似业绩，每提供一份得</w:t>
            </w:r>
            <w:r>
              <w:rPr>
                <w:rFonts w:hint="eastAsia" w:ascii="仿宋_GB2312" w:hAnsi="仿宋_GB2312" w:eastAsia="仿宋_GB2312" w:cs="仿宋_GB2312"/>
                <w:kern w:val="0"/>
                <w:szCs w:val="21"/>
                <w:highlight w:val="none"/>
                <w:lang w:val="en-US" w:eastAsia="zh-CN"/>
              </w:rPr>
              <w:t>1</w:t>
            </w:r>
            <w:r>
              <w:rPr>
                <w:rFonts w:hint="eastAsia" w:ascii="仿宋_GB2312" w:hAnsi="仿宋_GB2312" w:eastAsia="仿宋_GB2312" w:cs="仿宋_GB2312"/>
                <w:kern w:val="0"/>
                <w:szCs w:val="21"/>
                <w:highlight w:val="none"/>
                <w:lang w:eastAsia="zh-CN"/>
              </w:rPr>
              <w:t>分；</w:t>
            </w:r>
            <w:r>
              <w:rPr>
                <w:rFonts w:hint="eastAsia" w:ascii="仿宋_GB2312" w:hAnsi="仿宋_GB2312" w:eastAsia="仿宋_GB2312" w:cs="仿宋_GB2312"/>
                <w:kern w:val="0"/>
                <w:szCs w:val="21"/>
                <w:highlight w:val="none"/>
                <w:lang w:val="en-US" w:eastAsia="zh-CN"/>
              </w:rPr>
              <w:t>400</w:t>
            </w:r>
            <w:r>
              <w:rPr>
                <w:rFonts w:hint="eastAsia" w:ascii="仿宋_GB2312" w:hAnsi="仿宋_GB2312" w:eastAsia="仿宋_GB2312" w:cs="仿宋_GB2312"/>
                <w:kern w:val="0"/>
                <w:szCs w:val="21"/>
                <w:highlight w:val="none"/>
                <w:lang w:eastAsia="zh-CN"/>
              </w:rPr>
              <w:t>万元及以上类似业绩，每提供一份得</w:t>
            </w:r>
            <w:r>
              <w:rPr>
                <w:rFonts w:hint="eastAsia" w:ascii="仿宋_GB2312" w:hAnsi="仿宋_GB2312" w:eastAsia="仿宋_GB2312" w:cs="仿宋_GB2312"/>
                <w:kern w:val="0"/>
                <w:szCs w:val="21"/>
                <w:highlight w:val="none"/>
                <w:lang w:val="en-US" w:eastAsia="zh-CN"/>
              </w:rPr>
              <w:t>2</w:t>
            </w:r>
            <w:r>
              <w:rPr>
                <w:rFonts w:hint="eastAsia" w:ascii="仿宋_GB2312" w:hAnsi="仿宋_GB2312" w:eastAsia="仿宋_GB2312" w:cs="仿宋_GB2312"/>
                <w:kern w:val="0"/>
                <w:szCs w:val="21"/>
                <w:highlight w:val="none"/>
                <w:lang w:eastAsia="zh-CN"/>
              </w:rPr>
              <w:t>分；此项最多得</w:t>
            </w:r>
            <w:r>
              <w:rPr>
                <w:rFonts w:hint="eastAsia" w:ascii="仿宋_GB2312" w:hAnsi="仿宋_GB2312" w:eastAsia="仿宋_GB2312" w:cs="仿宋_GB2312"/>
                <w:kern w:val="0"/>
                <w:szCs w:val="21"/>
                <w:highlight w:val="none"/>
                <w:lang w:val="en-US" w:eastAsia="zh-CN"/>
              </w:rPr>
              <w:t>4</w:t>
            </w:r>
            <w:r>
              <w:rPr>
                <w:rFonts w:hint="eastAsia" w:ascii="仿宋_GB2312" w:hAnsi="仿宋_GB2312" w:eastAsia="仿宋_GB2312" w:cs="仿宋_GB2312"/>
                <w:kern w:val="0"/>
                <w:szCs w:val="21"/>
                <w:highlight w:val="none"/>
                <w:lang w:eastAsia="zh-CN"/>
              </w:rPr>
              <w:t>分。</w:t>
            </w:r>
          </w:p>
          <w:p>
            <w:pPr>
              <w:spacing w:line="400" w:lineRule="exact"/>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eastAsia="zh-CN"/>
              </w:rPr>
              <w:t>须同时提供销售合同和相应中标通知书（无中标通知书的，须提供网上公示信息的截图，截图须体现</w:t>
            </w:r>
            <w:r>
              <w:rPr>
                <w:rFonts w:hint="eastAsia" w:ascii="仿宋_GB2312" w:hAnsi="仿宋_GB2312" w:eastAsia="仿宋_GB2312" w:cs="仿宋_GB2312"/>
                <w:kern w:val="0"/>
                <w:szCs w:val="21"/>
                <w:highlight w:val="none"/>
                <w:lang w:val="en-US" w:eastAsia="zh-CN"/>
              </w:rPr>
              <w:t>流量计或电磁阀厂家</w:t>
            </w:r>
            <w:r>
              <w:rPr>
                <w:rFonts w:hint="eastAsia" w:ascii="仿宋_GB2312" w:hAnsi="仿宋_GB2312" w:eastAsia="仿宋_GB2312" w:cs="仿宋_GB2312"/>
                <w:kern w:val="0"/>
                <w:szCs w:val="21"/>
                <w:highlight w:val="none"/>
                <w:lang w:eastAsia="zh-CN"/>
              </w:rPr>
              <w:t>为</w:t>
            </w:r>
            <w:r>
              <w:rPr>
                <w:rFonts w:hint="eastAsia" w:ascii="仿宋_GB2312" w:hAnsi="仿宋_GB2312" w:eastAsia="仿宋_GB2312" w:cs="仿宋_GB2312"/>
                <w:kern w:val="0"/>
                <w:szCs w:val="21"/>
                <w:highlight w:val="none"/>
                <w:lang w:val="en-US" w:eastAsia="zh-CN"/>
              </w:rPr>
              <w:t>成交</w:t>
            </w:r>
            <w:r>
              <w:rPr>
                <w:rFonts w:hint="eastAsia" w:ascii="仿宋_GB2312" w:hAnsi="仿宋_GB2312" w:eastAsia="仿宋_GB2312" w:cs="仿宋_GB2312"/>
                <w:kern w:val="0"/>
                <w:szCs w:val="21"/>
                <w:highlight w:val="none"/>
                <w:lang w:eastAsia="zh-CN"/>
              </w:rPr>
              <w:t>人）</w:t>
            </w:r>
          </w:p>
        </w:tc>
      </w:tr>
      <w:tr>
        <w:tblPrEx>
          <w:tblCellMar>
            <w:top w:w="0" w:type="dxa"/>
            <w:left w:w="108" w:type="dxa"/>
            <w:bottom w:w="0" w:type="dxa"/>
            <w:right w:w="108" w:type="dxa"/>
          </w:tblCellMar>
        </w:tblPrEx>
        <w:trPr>
          <w:trHeight w:val="930" w:hRule="atLeast"/>
          <w:jc w:val="center"/>
        </w:trPr>
        <w:tc>
          <w:tcPr>
            <w:tcW w:w="0" w:type="auto"/>
            <w:tcBorders>
              <w:top w:val="nil"/>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color w:val="000000"/>
                <w:kern w:val="0"/>
                <w:szCs w:val="21"/>
                <w:highlight w:val="none"/>
                <w:lang w:eastAsia="zh-CN"/>
              </w:rPr>
            </w:pPr>
            <w:r>
              <w:rPr>
                <w:rFonts w:hint="eastAsia" w:ascii="仿宋_GB2312" w:hAnsi="仿宋_GB2312" w:eastAsia="仿宋_GB2312" w:cs="仿宋_GB2312"/>
                <w:color w:val="000000"/>
                <w:kern w:val="0"/>
                <w:szCs w:val="21"/>
                <w:highlight w:val="none"/>
                <w:lang w:val="en-US" w:eastAsia="zh-CN"/>
              </w:rPr>
              <w:t>4</w:t>
            </w:r>
          </w:p>
        </w:tc>
        <w:tc>
          <w:tcPr>
            <w:tcW w:w="0" w:type="auto"/>
            <w:tcBorders>
              <w:top w:val="nil"/>
              <w:left w:val="nil"/>
              <w:bottom w:val="single" w:color="auto" w:sz="4" w:space="0"/>
              <w:right w:val="single" w:color="auto" w:sz="4" w:space="0"/>
            </w:tcBorders>
            <w:noWrap w:val="0"/>
            <w:vAlign w:val="center"/>
          </w:tcPr>
          <w:p>
            <w:pPr>
              <w:widowControl/>
              <w:spacing w:line="400" w:lineRule="exact"/>
              <w:jc w:val="center"/>
              <w:rPr>
                <w:rFonts w:hint="eastAsia" w:ascii="仿宋_GB2312" w:hAnsi="仿宋_GB2312" w:eastAsia="仿宋_GB2312" w:cs="仿宋_GB2312"/>
                <w:color w:val="000000"/>
                <w:kern w:val="0"/>
                <w:szCs w:val="21"/>
                <w:highlight w:val="none"/>
                <w:lang w:eastAsia="zh-CN"/>
              </w:rPr>
            </w:pPr>
            <w:r>
              <w:rPr>
                <w:rFonts w:hint="eastAsia" w:ascii="仿宋_GB2312" w:hAnsi="仿宋_GB2312" w:eastAsia="仿宋_GB2312" w:cs="仿宋_GB2312"/>
                <w:color w:val="000000"/>
                <w:kern w:val="0"/>
                <w:szCs w:val="21"/>
                <w:highlight w:val="none"/>
                <w:lang w:val="en-US" w:eastAsia="zh-CN"/>
              </w:rPr>
              <w:t>技术方案（3）</w:t>
            </w:r>
          </w:p>
        </w:tc>
        <w:tc>
          <w:tcPr>
            <w:tcW w:w="0" w:type="auto"/>
            <w:tcBorders>
              <w:top w:val="nil"/>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bCs/>
                <w:spacing w:val="10"/>
                <w:kern w:val="0"/>
                <w:szCs w:val="21"/>
                <w:highlight w:val="none"/>
                <w:lang w:eastAsia="zh-CN"/>
              </w:rPr>
            </w:pPr>
            <w:r>
              <w:rPr>
                <w:rFonts w:hint="eastAsia" w:ascii="仿宋_GB2312" w:hAnsi="仿宋_GB2312" w:eastAsia="仿宋_GB2312" w:cs="仿宋_GB2312"/>
                <w:bCs/>
                <w:spacing w:val="10"/>
                <w:kern w:val="0"/>
                <w:szCs w:val="21"/>
                <w:highlight w:val="none"/>
                <w:lang w:val="en-US" w:eastAsia="zh-CN"/>
              </w:rPr>
              <w:t>3</w:t>
            </w:r>
          </w:p>
        </w:tc>
        <w:tc>
          <w:tcPr>
            <w:tcW w:w="0" w:type="auto"/>
            <w:tcBorders>
              <w:top w:val="nil"/>
              <w:left w:val="nil"/>
              <w:bottom w:val="single" w:color="auto" w:sz="4" w:space="0"/>
              <w:right w:val="single" w:color="auto" w:sz="4" w:space="0"/>
            </w:tcBorders>
            <w:noWrap w:val="0"/>
            <w:vAlign w:val="center"/>
          </w:tcPr>
          <w:p>
            <w:pPr>
              <w:spacing w:line="400" w:lineRule="exact"/>
              <w:jc w:val="left"/>
              <w:rPr>
                <w:rFonts w:hint="default" w:ascii="仿宋_GB2312" w:hAnsi="仿宋_GB2312" w:eastAsia="仿宋_GB2312" w:cs="仿宋_GB2312"/>
                <w:bCs/>
                <w:kern w:val="0"/>
                <w:szCs w:val="21"/>
                <w:highlight w:val="none"/>
                <w:lang w:val="en-US" w:eastAsia="zh-CN"/>
              </w:rPr>
            </w:pPr>
            <w:r>
              <w:rPr>
                <w:rFonts w:hint="eastAsia" w:ascii="仿宋_GB2312" w:hAnsi="仿宋_GB2312" w:eastAsia="仿宋_GB2312" w:cs="仿宋_GB2312"/>
                <w:kern w:val="0"/>
                <w:szCs w:val="21"/>
                <w:highlight w:val="none"/>
                <w:lang w:val="en-US" w:eastAsia="zh-CN"/>
              </w:rPr>
              <w:t>安装调试技术方案，描述方案优秀的得3分，描述方案良好的得1分，描述不清楚或不描述的不得分</w:t>
            </w:r>
          </w:p>
        </w:tc>
      </w:tr>
      <w:tr>
        <w:tblPrEx>
          <w:tblCellMar>
            <w:top w:w="0" w:type="dxa"/>
            <w:left w:w="108" w:type="dxa"/>
            <w:bottom w:w="0" w:type="dxa"/>
            <w:right w:w="108" w:type="dxa"/>
          </w:tblCellMar>
        </w:tblPrEx>
        <w:trPr>
          <w:trHeight w:val="603" w:hRule="atLeast"/>
          <w:jc w:val="center"/>
        </w:trPr>
        <w:tc>
          <w:tcPr>
            <w:tcW w:w="0" w:type="auto"/>
            <w:tcBorders>
              <w:top w:val="single" w:color="auto" w:sz="4" w:space="0"/>
              <w:left w:val="single" w:color="auto" w:sz="4" w:space="0"/>
              <w:bottom w:val="single" w:color="000000"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val="en-US" w:eastAsia="zh-CN"/>
              </w:rPr>
              <w:t>5</w:t>
            </w:r>
          </w:p>
        </w:tc>
        <w:tc>
          <w:tcPr>
            <w:tcW w:w="0" w:type="auto"/>
            <w:tcBorders>
              <w:top w:val="single" w:color="auto" w:sz="4" w:space="0"/>
              <w:left w:val="single" w:color="auto" w:sz="4" w:space="0"/>
              <w:bottom w:val="single" w:color="000000" w:sz="4" w:space="0"/>
              <w:right w:val="single" w:color="auto" w:sz="4" w:space="0"/>
            </w:tcBorders>
            <w:noWrap w:val="0"/>
            <w:vAlign w:val="center"/>
          </w:tcPr>
          <w:p>
            <w:pPr>
              <w:widowControl/>
              <w:spacing w:line="400" w:lineRule="exact"/>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售后保障（</w:t>
            </w:r>
            <w:r>
              <w:rPr>
                <w:rFonts w:hint="eastAsia" w:ascii="仿宋_GB2312" w:hAnsi="仿宋_GB2312" w:eastAsia="仿宋_GB2312" w:cs="仿宋_GB2312"/>
                <w:kern w:val="0"/>
                <w:szCs w:val="21"/>
                <w:highlight w:val="none"/>
                <w:lang w:val="en-US" w:eastAsia="zh-CN"/>
              </w:rPr>
              <w:t>4</w:t>
            </w:r>
            <w:r>
              <w:rPr>
                <w:rFonts w:hint="eastAsia" w:ascii="仿宋_GB2312" w:hAnsi="仿宋_GB2312" w:eastAsia="仿宋_GB2312" w:cs="仿宋_GB2312"/>
                <w:kern w:val="0"/>
                <w:szCs w:val="21"/>
                <w:highlight w:val="none"/>
              </w:rPr>
              <w:t>）</w:t>
            </w:r>
          </w:p>
        </w:tc>
        <w:tc>
          <w:tcPr>
            <w:tcW w:w="0" w:type="auto"/>
            <w:tcBorders>
              <w:top w:val="nil"/>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bCs/>
                <w:spacing w:val="10"/>
                <w:kern w:val="0"/>
                <w:szCs w:val="21"/>
                <w:highlight w:val="none"/>
                <w:lang w:eastAsia="zh-CN"/>
              </w:rPr>
            </w:pPr>
            <w:r>
              <w:rPr>
                <w:rFonts w:hint="eastAsia" w:ascii="仿宋_GB2312" w:hAnsi="仿宋_GB2312" w:eastAsia="仿宋_GB2312" w:cs="仿宋_GB2312"/>
                <w:bCs/>
                <w:spacing w:val="10"/>
                <w:kern w:val="0"/>
                <w:szCs w:val="21"/>
                <w:highlight w:val="none"/>
                <w:lang w:val="en-US" w:eastAsia="zh-CN"/>
              </w:rPr>
              <w:t>4</w:t>
            </w:r>
          </w:p>
        </w:tc>
        <w:tc>
          <w:tcPr>
            <w:tcW w:w="0" w:type="auto"/>
            <w:tcBorders>
              <w:top w:val="nil"/>
              <w:left w:val="nil"/>
              <w:bottom w:val="single" w:color="auto" w:sz="4" w:space="0"/>
              <w:right w:val="single" w:color="auto" w:sz="4" w:space="0"/>
            </w:tcBorders>
            <w:noWrap w:val="0"/>
            <w:vAlign w:val="center"/>
          </w:tcPr>
          <w:p>
            <w:pPr>
              <w:spacing w:line="400" w:lineRule="exact"/>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val="en-US" w:eastAsia="zh-CN"/>
              </w:rPr>
              <w:t>质保期高于采购文件要求，质保期基础上每承诺增加1年的得1分，此项最多得4分。</w:t>
            </w:r>
          </w:p>
        </w:tc>
      </w:tr>
    </w:tbl>
    <w:p>
      <w:pPr>
        <w:spacing w:line="540" w:lineRule="exact"/>
        <w:ind w:firstLine="360" w:firstLineChars="150"/>
        <w:outlineLvl w:val="0"/>
        <w:rPr>
          <w:rFonts w:hint="eastAsia" w:ascii="宋体" w:hAnsi="宋体" w:cs="宋体"/>
          <w:sz w:val="24"/>
          <w:highlight w:val="none"/>
        </w:rPr>
      </w:pPr>
      <w:r>
        <w:rPr>
          <w:rFonts w:hint="eastAsia" w:ascii="宋体" w:hAnsi="宋体" w:cs="宋体"/>
          <w:sz w:val="24"/>
          <w:highlight w:val="none"/>
        </w:rPr>
        <w:t>(二）商务价格分：</w:t>
      </w:r>
      <w:r>
        <w:rPr>
          <w:rFonts w:hint="eastAsia" w:ascii="宋体" w:hAnsi="宋体" w:cs="宋体"/>
          <w:sz w:val="24"/>
          <w:highlight w:val="none"/>
          <w:lang w:val="en-US" w:eastAsia="zh-CN"/>
        </w:rPr>
        <w:t>50</w:t>
      </w:r>
      <w:r>
        <w:rPr>
          <w:rFonts w:hint="eastAsia" w:ascii="宋体" w:hAnsi="宋体" w:cs="宋体"/>
          <w:sz w:val="24"/>
          <w:highlight w:val="none"/>
        </w:rPr>
        <w:t>分</w:t>
      </w:r>
    </w:p>
    <w:p>
      <w:pPr>
        <w:spacing w:line="540" w:lineRule="exact"/>
        <w:ind w:firstLine="360" w:firstLineChars="150"/>
        <w:outlineLvl w:val="0"/>
        <w:rPr>
          <w:rFonts w:hint="eastAsia" w:ascii="宋体" w:hAnsi="宋体" w:cs="宋体"/>
          <w:sz w:val="24"/>
          <w:highlight w:val="none"/>
        </w:rPr>
      </w:pPr>
      <w:r>
        <w:rPr>
          <w:rFonts w:hint="eastAsia" w:ascii="宋体" w:hAnsi="宋体" w:cs="宋体"/>
          <w:sz w:val="24"/>
          <w:highlight w:val="none"/>
        </w:rPr>
        <w:t>当有效报价供应商&gt;5家时，在所有报价供应商的投标报价中去掉一个最高价和一个最低价的算术平均值×0.95为评审基价，当报价供应商≤5家时，按所有报价供应商报价的算术平均值×0.95为评审基价。报价供应商的报价等于评审基价的，得</w:t>
      </w:r>
      <w:r>
        <w:rPr>
          <w:rFonts w:ascii="宋体" w:hAnsi="宋体" w:cs="宋体"/>
          <w:sz w:val="24"/>
          <w:highlight w:val="none"/>
        </w:rPr>
        <w:t>60</w:t>
      </w:r>
      <w:r>
        <w:rPr>
          <w:rFonts w:hint="eastAsia" w:ascii="宋体" w:hAnsi="宋体" w:cs="宋体"/>
          <w:sz w:val="24"/>
          <w:highlight w:val="none"/>
        </w:rPr>
        <w:t>分。</w:t>
      </w:r>
    </w:p>
    <w:p>
      <w:pPr>
        <w:spacing w:line="540" w:lineRule="exact"/>
        <w:ind w:firstLine="360" w:firstLineChars="150"/>
        <w:outlineLvl w:val="0"/>
        <w:rPr>
          <w:rFonts w:hint="eastAsia" w:ascii="宋体" w:hAnsi="宋体" w:cs="宋体"/>
          <w:sz w:val="24"/>
          <w:highlight w:val="none"/>
        </w:rPr>
      </w:pPr>
      <w:r>
        <w:rPr>
          <w:rFonts w:hint="eastAsia" w:ascii="宋体" w:hAnsi="宋体" w:cs="宋体"/>
          <w:sz w:val="24"/>
          <w:highlight w:val="none"/>
        </w:rPr>
        <w:t>报价每高于评审基价1%在</w:t>
      </w:r>
      <w:r>
        <w:rPr>
          <w:rFonts w:hint="eastAsia" w:ascii="宋体" w:hAnsi="宋体" w:cs="宋体"/>
          <w:sz w:val="24"/>
          <w:highlight w:val="none"/>
          <w:lang w:val="en-US" w:eastAsia="zh-CN"/>
        </w:rPr>
        <w:t>50</w:t>
      </w:r>
      <w:r>
        <w:rPr>
          <w:rFonts w:hint="eastAsia" w:ascii="宋体" w:hAnsi="宋体" w:cs="宋体"/>
          <w:sz w:val="24"/>
          <w:highlight w:val="none"/>
        </w:rPr>
        <w:t>分基础上扣0.</w:t>
      </w:r>
      <w:r>
        <w:rPr>
          <w:rFonts w:hint="eastAsia" w:ascii="宋体" w:hAnsi="宋体" w:cs="宋体"/>
          <w:sz w:val="24"/>
          <w:highlight w:val="none"/>
          <w:lang w:val="en-US" w:eastAsia="zh-CN"/>
        </w:rPr>
        <w:t>5</w:t>
      </w:r>
      <w:r>
        <w:rPr>
          <w:rFonts w:hint="eastAsia" w:ascii="宋体" w:hAnsi="宋体" w:cs="宋体"/>
          <w:sz w:val="24"/>
          <w:highlight w:val="none"/>
        </w:rPr>
        <w:t>分（不足1</w:t>
      </w:r>
      <w:r>
        <w:rPr>
          <w:rFonts w:hint="eastAsia" w:ascii="宋体" w:hAnsi="宋体" w:cs="宋体"/>
          <w:sz w:val="24"/>
          <w:highlight w:val="none"/>
          <w:lang w:val="en-US" w:eastAsia="zh-CN"/>
        </w:rPr>
        <w:t>%</w:t>
      </w:r>
      <w:r>
        <w:rPr>
          <w:rFonts w:hint="eastAsia" w:ascii="宋体" w:hAnsi="宋体" w:cs="宋体"/>
          <w:sz w:val="24"/>
          <w:highlight w:val="none"/>
        </w:rPr>
        <w:t>部分按比例进行扣分）；投标报价每低于评审基价1%在</w:t>
      </w:r>
      <w:r>
        <w:rPr>
          <w:rFonts w:hint="eastAsia" w:ascii="宋体" w:hAnsi="宋体" w:cs="宋体"/>
          <w:sz w:val="24"/>
          <w:highlight w:val="none"/>
          <w:lang w:val="en-US" w:eastAsia="zh-CN"/>
        </w:rPr>
        <w:t>50</w:t>
      </w:r>
      <w:r>
        <w:rPr>
          <w:rFonts w:hint="eastAsia" w:ascii="宋体" w:hAnsi="宋体" w:cs="宋体"/>
          <w:sz w:val="24"/>
          <w:highlight w:val="none"/>
        </w:rPr>
        <w:t>分基础上扣0.</w:t>
      </w:r>
      <w:r>
        <w:rPr>
          <w:rFonts w:hint="eastAsia" w:ascii="宋体" w:hAnsi="宋体" w:cs="宋体"/>
          <w:sz w:val="24"/>
          <w:highlight w:val="none"/>
          <w:lang w:val="en-US" w:eastAsia="zh-CN"/>
        </w:rPr>
        <w:t>5</w:t>
      </w:r>
      <w:r>
        <w:rPr>
          <w:rFonts w:hint="eastAsia" w:ascii="宋体" w:hAnsi="宋体" w:cs="宋体"/>
          <w:sz w:val="24"/>
          <w:highlight w:val="none"/>
        </w:rPr>
        <w:t>分（不足1%时按比例进行扣分）。（小数点后保留两位小数）</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ascii="宋体" w:hAnsi="宋体"/>
          <w:sz w:val="28"/>
          <w:highlight w:val="none"/>
        </w:rPr>
        <w:t>6</w:t>
      </w:r>
      <w:r>
        <w:rPr>
          <w:rFonts w:hint="eastAsia" w:ascii="宋体" w:hAnsi="宋体"/>
          <w:sz w:val="28"/>
          <w:highlight w:val="none"/>
        </w:rPr>
        <w:t>、履约担保</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val="0"/>
          <w:bCs/>
          <w:sz w:val="28"/>
          <w:highlight w:val="none"/>
        </w:rPr>
        <w:t>成交供应商须在采购合同签订时交纳履约担保金额，</w:t>
      </w:r>
      <w:r>
        <w:rPr>
          <w:rFonts w:hint="eastAsia" w:ascii="宋体" w:hAnsi="宋体"/>
          <w:b/>
          <w:sz w:val="28"/>
          <w:highlight w:val="none"/>
        </w:rPr>
        <w:t>履约金额为</w:t>
      </w:r>
      <w:r>
        <w:rPr>
          <w:rFonts w:hint="eastAsia" w:ascii="宋体" w:hAnsi="宋体"/>
          <w:b/>
          <w:sz w:val="28"/>
          <w:highlight w:val="none"/>
          <w:lang w:val="en-US" w:eastAsia="zh-CN"/>
        </w:rPr>
        <w:t>合同金额</w:t>
      </w:r>
      <w:r>
        <w:rPr>
          <w:rFonts w:hint="eastAsia" w:ascii="宋体" w:hAnsi="宋体"/>
          <w:b/>
          <w:sz w:val="28"/>
          <w:highlight w:val="none"/>
        </w:rPr>
        <w:t>的</w:t>
      </w:r>
      <w:r>
        <w:rPr>
          <w:rFonts w:hint="eastAsia" w:ascii="宋体" w:hAnsi="宋体"/>
          <w:b/>
          <w:sz w:val="28"/>
          <w:highlight w:val="none"/>
          <w:lang w:val="en-US" w:eastAsia="zh-CN"/>
        </w:rPr>
        <w:t>5</w:t>
      </w:r>
      <w:r>
        <w:rPr>
          <w:rFonts w:hint="eastAsia" w:ascii="宋体" w:hAnsi="宋体"/>
          <w:b/>
          <w:sz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sz w:val="28"/>
          <w:highlight w:val="none"/>
        </w:rPr>
        <w:t>履约担保形式：</w:t>
      </w:r>
      <w:r>
        <w:rPr>
          <w:rFonts w:hint="eastAsia" w:ascii="宋体" w:hAnsi="宋体"/>
          <w:b/>
          <w:sz w:val="28"/>
          <w:highlight w:val="none"/>
          <w:u w:val="single"/>
        </w:rPr>
        <w:t>转账汇款履约保证金。</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sz w:val="28"/>
          <w:highlight w:val="none"/>
        </w:rPr>
        <w:t>若不交纳履约保证金或不提交履约保函不签订合同的列入采购人黑名单，2年之内不可参加采购人所采购任何的项目。</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sz w:val="28"/>
          <w:highlight w:val="none"/>
        </w:rPr>
        <w:t>本项目成交供应商将在采购合同签订时缴纳履约保证金。</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sz w:val="28"/>
          <w:highlight w:val="none"/>
        </w:rPr>
      </w:pPr>
      <w:r>
        <w:rPr>
          <w:rFonts w:hint="eastAsia" w:ascii="宋体" w:hAnsi="宋体"/>
          <w:b/>
          <w:sz w:val="28"/>
          <w:highlight w:val="none"/>
        </w:rPr>
        <w:t>履约担保在</w:t>
      </w:r>
      <w:r>
        <w:rPr>
          <w:rFonts w:hint="eastAsia" w:ascii="宋体" w:hAnsi="宋体"/>
          <w:b/>
          <w:sz w:val="28"/>
          <w:highlight w:val="none"/>
          <w:u w:val="single"/>
        </w:rPr>
        <w:t>完成供货</w:t>
      </w:r>
      <w:r>
        <w:rPr>
          <w:rFonts w:hint="eastAsia" w:ascii="宋体" w:hAnsi="宋体"/>
          <w:b/>
          <w:sz w:val="28"/>
          <w:highlight w:val="none"/>
          <w:u w:val="single"/>
          <w:lang w:val="en-US" w:eastAsia="zh-CN"/>
        </w:rPr>
        <w:t>或供货总金额达到300万元</w:t>
      </w:r>
      <w:r>
        <w:rPr>
          <w:rFonts w:ascii="宋体" w:hAnsi="宋体"/>
          <w:b/>
          <w:sz w:val="28"/>
          <w:highlight w:val="none"/>
        </w:rPr>
        <w:t>后</w:t>
      </w:r>
      <w:r>
        <w:rPr>
          <w:rFonts w:hint="eastAsia" w:ascii="宋体" w:hAnsi="宋体"/>
          <w:b/>
          <w:sz w:val="28"/>
          <w:highlight w:val="none"/>
        </w:rPr>
        <w:t>结束，履约保证金全额无息退还成交供应商。</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7</w:t>
      </w:r>
      <w:r>
        <w:rPr>
          <w:rFonts w:hint="eastAsia" w:ascii="宋体" w:hAnsi="宋体"/>
          <w:sz w:val="28"/>
          <w:highlight w:val="none"/>
        </w:rPr>
        <w:t>、合同的签订:</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1）成交人在收到成交通知后按成交通知指定时间、地点与采购单位签订合同。</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2）报价文件、成交人的报价文件及澄清文件等，均为签订合同的依据及附件。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3）成交人未按规定签订合同，我公司有权取消其成交资格。我公司可将次低报价供应商定为成交人，或重新组织采购。</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4）供需双方签订的合同，须经我公司审核盖章后生效。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5）成交方不按其承诺履行义务，我公司有权没收其履约保证金。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6）合同履约期：完成供货。</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8</w:t>
      </w:r>
      <w:r>
        <w:rPr>
          <w:rFonts w:hint="eastAsia" w:ascii="宋体" w:hAnsi="宋体"/>
          <w:sz w:val="28"/>
          <w:highlight w:val="none"/>
        </w:rPr>
        <w:t>、开标时间: 2024年</w:t>
      </w:r>
      <w:r>
        <w:rPr>
          <w:rFonts w:hint="eastAsia" w:ascii="宋体" w:hAnsi="宋体"/>
          <w:sz w:val="28"/>
          <w:highlight w:val="none"/>
          <w:lang w:val="en-US" w:eastAsia="zh-CN"/>
        </w:rPr>
        <w:t>06</w:t>
      </w:r>
      <w:r>
        <w:rPr>
          <w:rFonts w:hint="eastAsia" w:ascii="宋体" w:hAnsi="宋体"/>
          <w:sz w:val="28"/>
          <w:highlight w:val="none"/>
        </w:rPr>
        <w:t>月</w:t>
      </w:r>
      <w:r>
        <w:rPr>
          <w:rFonts w:hint="eastAsia" w:ascii="宋体" w:hAnsi="宋体"/>
          <w:sz w:val="28"/>
          <w:highlight w:val="none"/>
          <w:lang w:val="en-US" w:eastAsia="zh-CN"/>
        </w:rPr>
        <w:t>11</w:t>
      </w:r>
      <w:r>
        <w:rPr>
          <w:rFonts w:hint="eastAsia" w:ascii="宋体" w:hAnsi="宋体"/>
          <w:sz w:val="28"/>
          <w:highlight w:val="none"/>
        </w:rPr>
        <w:t>日</w:t>
      </w:r>
      <w:r>
        <w:rPr>
          <w:rFonts w:hint="eastAsia" w:ascii="宋体" w:hAnsi="宋体"/>
          <w:sz w:val="28"/>
          <w:highlight w:val="none"/>
          <w:lang w:val="en-US" w:eastAsia="zh-CN"/>
        </w:rPr>
        <w:t>14：30</w:t>
      </w:r>
      <w:r>
        <w:rPr>
          <w:rFonts w:hint="eastAsia" w:ascii="宋体" w:hAnsi="宋体"/>
          <w:sz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开标地点:海安市东海大道33</w:t>
      </w:r>
      <w:r>
        <w:rPr>
          <w:rFonts w:ascii="宋体" w:hAnsi="宋体"/>
          <w:sz w:val="28"/>
          <w:highlight w:val="none"/>
        </w:rPr>
        <w:t>3</w:t>
      </w:r>
      <w:r>
        <w:rPr>
          <w:rFonts w:hint="eastAsia" w:ascii="宋体" w:hAnsi="宋体"/>
          <w:sz w:val="28"/>
          <w:highlight w:val="none"/>
        </w:rPr>
        <w:t>号</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海安市城建开发投资集团有限公司 东楼二楼开标室（203）。</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9</w:t>
      </w:r>
      <w:r>
        <w:rPr>
          <w:rFonts w:hint="eastAsia" w:ascii="宋体" w:hAnsi="宋体"/>
          <w:sz w:val="28"/>
          <w:highlight w:val="none"/>
        </w:rPr>
        <w:t xml:space="preserve">、发布公告的媒介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信息公布网站：</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http://www.hacjjt.com/或http://www.jshawater.com/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针对该项目公告的任何变更将通过原公告媒体发布，潜在供应商应在报价文件递交截止时间前关注以上网站有关本项目有无变更公告。如果没有及时关注以上网站公告导致的相关责任由相关供应商自行承担。</w:t>
      </w:r>
      <w:r>
        <w:rPr>
          <w:rFonts w:hint="eastAsia" w:ascii="宋体" w:hAnsi="宋体"/>
          <w:b/>
          <w:sz w:val="28"/>
          <w:highlight w:val="none"/>
        </w:rPr>
        <w:t>该项目属于公司内部项目，参照公司内部规定执行。本文件的解释权归海安裕海贸易有限公司。</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10、违约责任</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 xml:space="preserve">1）成交人除不可抗拒的因素外，违反采购文件和合同条款，应向采购人支付不能交货部分货款10%的违约金，同时，采购人有权随时终止合同履行。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2）成交人延期交付（除正当理由），应向采购人偿付逾期违约金，违约金按每周迟交货物或未提供服务交货价的0.5%计收。但违约金的最高限额为迟交货物或没有提供服务的合同价的10% 。一周按7天计算，不足7天按一周计算。如果达到最高限额，采购人有权解除合同。</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FF0000"/>
          <w:sz w:val="28"/>
          <w:highlight w:val="none"/>
        </w:rPr>
      </w:pPr>
      <w:r>
        <w:rPr>
          <w:rFonts w:hint="eastAsia" w:ascii="宋体" w:hAnsi="宋体"/>
          <w:sz w:val="28"/>
          <w:highlight w:val="none"/>
        </w:rPr>
        <w:t>11、其它:</w:t>
      </w:r>
      <w:r>
        <w:rPr>
          <w:rFonts w:hint="eastAsia" w:ascii="宋体" w:hAnsi="宋体"/>
          <w:highlight w:val="none"/>
        </w:rPr>
        <w:t xml:space="preserve"> </w:t>
      </w:r>
      <w:r>
        <w:rPr>
          <w:rFonts w:hint="eastAsia" w:ascii="宋体" w:hAnsi="宋体"/>
          <w:sz w:val="28"/>
          <w:highlight w:val="none"/>
        </w:rPr>
        <w:t>若所供货物质量不合格，采购方有权终止合同，并没收履约保证金，相应货款将不予即时支付。</w:t>
      </w:r>
      <w:r>
        <w:rPr>
          <w:rFonts w:hint="eastAsia" w:ascii="宋体" w:hAnsi="宋体"/>
          <w:b/>
          <w:sz w:val="28"/>
          <w:highlight w:val="none"/>
        </w:rPr>
        <w:t>采购方有权委托海安市市场监管局或省检测中心对该材料进行抽样检测，如果检测结果低于采购方设定要求，供货方承担所有损失，接受海安市市场监管局查处。</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FF0000"/>
          <w:sz w:val="28"/>
          <w:highlight w:val="none"/>
        </w:rPr>
      </w:pPr>
      <w:r>
        <w:rPr>
          <w:rFonts w:hint="eastAsia" w:ascii="宋体" w:hAnsi="宋体"/>
          <w:sz w:val="28"/>
          <w:highlight w:val="none"/>
        </w:rPr>
        <w:t>四、报价文件要求</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hint="eastAsia" w:ascii="宋体" w:hAnsi="宋体"/>
          <w:sz w:val="28"/>
          <w:highlight w:val="none"/>
        </w:rPr>
        <w:t>1、报价人应按采购文件规定的内容和格式编制并提交报价文件，报价文件应包括如下内容:</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ascii="宋体" w:hAnsi="宋体"/>
          <w:sz w:val="28"/>
          <w:highlight w:val="none"/>
        </w:rPr>
        <w:t>（</w:t>
      </w:r>
      <w:r>
        <w:rPr>
          <w:rFonts w:hint="eastAsia" w:ascii="宋体" w:hAnsi="宋体"/>
          <w:sz w:val="28"/>
          <w:highlight w:val="none"/>
        </w:rPr>
        <w:t>1</w:t>
      </w:r>
      <w:r>
        <w:rPr>
          <w:rFonts w:ascii="宋体" w:hAnsi="宋体"/>
          <w:sz w:val="28"/>
          <w:highlight w:val="none"/>
        </w:rPr>
        <w:t>）</w:t>
      </w:r>
      <w:r>
        <w:rPr>
          <w:rFonts w:hint="eastAsia" w:ascii="宋体" w:hAnsi="宋体"/>
          <w:sz w:val="28"/>
          <w:highlight w:val="none"/>
        </w:rPr>
        <w:t>报价函及报价明细表</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ascii="宋体" w:hAnsi="宋体"/>
          <w:sz w:val="28"/>
          <w:highlight w:val="none"/>
        </w:rPr>
        <w:t>（</w:t>
      </w:r>
      <w:r>
        <w:rPr>
          <w:rFonts w:hint="eastAsia" w:ascii="宋体" w:hAnsi="宋体"/>
          <w:sz w:val="28"/>
          <w:highlight w:val="none"/>
        </w:rPr>
        <w:t>2</w:t>
      </w:r>
      <w:r>
        <w:rPr>
          <w:rFonts w:ascii="宋体" w:hAnsi="宋体"/>
          <w:sz w:val="28"/>
          <w:highlight w:val="none"/>
        </w:rPr>
        <w:t>）</w:t>
      </w:r>
      <w:r>
        <w:rPr>
          <w:rFonts w:hint="eastAsia" w:ascii="宋体" w:hAnsi="宋体"/>
          <w:sz w:val="28"/>
          <w:highlight w:val="none"/>
        </w:rPr>
        <w:t>法人代表、报价人身份证复印件、报价人法定代表人授权书(若法人本人签章或签字，则不需提供)</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eastAsia="宋体"/>
          <w:sz w:val="28"/>
          <w:highlight w:val="none"/>
          <w:lang w:val="en-US" w:eastAsia="zh-CN"/>
        </w:rPr>
      </w:pPr>
      <w:r>
        <w:rPr>
          <w:rFonts w:ascii="宋体" w:hAnsi="宋体"/>
          <w:sz w:val="28"/>
          <w:highlight w:val="none"/>
        </w:rPr>
        <w:t>（</w:t>
      </w:r>
      <w:r>
        <w:rPr>
          <w:rFonts w:hint="eastAsia" w:ascii="宋体" w:hAnsi="宋体"/>
          <w:sz w:val="28"/>
          <w:highlight w:val="none"/>
        </w:rPr>
        <w:t>3</w:t>
      </w:r>
      <w:r>
        <w:rPr>
          <w:rFonts w:ascii="宋体" w:hAnsi="宋体"/>
          <w:sz w:val="28"/>
          <w:highlight w:val="none"/>
        </w:rPr>
        <w:t>）报价人资格文件</w:t>
      </w:r>
      <w:r>
        <w:rPr>
          <w:rFonts w:hint="eastAsia" w:ascii="宋体" w:hAnsi="宋体"/>
          <w:sz w:val="28"/>
          <w:highlight w:val="none"/>
          <w:lang w:val="en-US" w:eastAsia="zh-CN"/>
        </w:rPr>
        <w:t>及其他文件</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default" w:ascii="宋体" w:hAnsi="宋体" w:eastAsia="宋体"/>
          <w:sz w:val="28"/>
          <w:highlight w:val="none"/>
          <w:lang w:val="en-US" w:eastAsia="zh-CN"/>
        </w:rPr>
      </w:pPr>
      <w:r>
        <w:rPr>
          <w:rFonts w:hint="eastAsia" w:ascii="宋体" w:hAnsi="宋体"/>
          <w:sz w:val="28"/>
          <w:highlight w:val="none"/>
          <w:lang w:eastAsia="zh-CN"/>
        </w:rPr>
        <w:t>（</w:t>
      </w:r>
      <w:r>
        <w:rPr>
          <w:rFonts w:hint="eastAsia" w:ascii="宋体" w:hAnsi="宋体"/>
          <w:sz w:val="28"/>
          <w:highlight w:val="none"/>
          <w:lang w:val="en-US" w:eastAsia="zh-CN"/>
        </w:rPr>
        <w:t>4</w:t>
      </w:r>
      <w:r>
        <w:rPr>
          <w:rFonts w:hint="eastAsia" w:ascii="宋体" w:hAnsi="宋体"/>
          <w:sz w:val="28"/>
          <w:highlight w:val="none"/>
          <w:lang w:eastAsia="zh-CN"/>
        </w:rPr>
        <w:t>）</w:t>
      </w:r>
      <w:r>
        <w:rPr>
          <w:rFonts w:hint="eastAsia" w:ascii="宋体" w:hAnsi="宋体"/>
          <w:sz w:val="28"/>
          <w:highlight w:val="none"/>
          <w:lang w:val="en-US" w:eastAsia="zh-CN"/>
        </w:rPr>
        <w:t>报价人认为需提交的其他资料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w:t>
      </w:r>
      <w:r>
        <w:rPr>
          <w:rFonts w:hint="eastAsia" w:ascii="宋体" w:hAnsi="宋体"/>
          <w:sz w:val="28"/>
          <w:highlight w:val="none"/>
          <w:lang w:val="en-US" w:eastAsia="zh-CN"/>
        </w:rPr>
        <w:t>5</w:t>
      </w:r>
      <w:r>
        <w:rPr>
          <w:rFonts w:hint="eastAsia" w:ascii="宋体" w:hAnsi="宋体"/>
          <w:sz w:val="28"/>
          <w:highlight w:val="none"/>
        </w:rPr>
        <w:t>）以上复印件均需加盖单位公章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 、报价文件的密封和标记</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bCs/>
          <w:sz w:val="28"/>
          <w:highlight w:val="none"/>
        </w:rPr>
      </w:pPr>
      <w:r>
        <w:rPr>
          <w:rFonts w:hint="eastAsia" w:ascii="宋体" w:hAnsi="宋体"/>
          <w:b/>
          <w:bCs/>
          <w:sz w:val="28"/>
          <w:highlight w:val="none"/>
        </w:rPr>
        <w:t>报价文件一式叁份装订成册（壹份正本，贰份副本，报价文件同时需标明页码），装袋密封在一个包封内，封口处加盖单位公章。报价人不得自行修改采购文件任何内容，且不按规定密封的报价文件无效。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ascii="宋体" w:hAnsi="宋体"/>
          <w:sz w:val="28"/>
          <w:highlight w:val="none"/>
        </w:rPr>
        <w:t>3</w:t>
      </w:r>
      <w:r>
        <w:rPr>
          <w:rFonts w:hint="eastAsia" w:ascii="宋体" w:hAnsi="宋体"/>
          <w:sz w:val="28"/>
          <w:highlight w:val="none"/>
        </w:rPr>
        <w:t>、当场开标、评标，逾期到达视为弃权处理。</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3360" w:firstLineChars="1200"/>
        <w:textAlignment w:val="auto"/>
        <w:rPr>
          <w:rFonts w:hint="eastAsia" w:ascii="宋体" w:hAnsi="宋体"/>
          <w:sz w:val="28"/>
          <w:highlight w:val="none"/>
        </w:rPr>
      </w:pPr>
      <w:r>
        <w:rPr>
          <w:rFonts w:hint="eastAsia" w:ascii="宋体" w:hAnsi="宋体"/>
          <w:sz w:val="28"/>
          <w:highlight w:val="none"/>
        </w:rPr>
        <w:t>采购人: 海安裕海贸易有限公司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 xml:space="preserve">    </w:t>
      </w:r>
      <w:r>
        <w:rPr>
          <w:rFonts w:hint="eastAsia" w:ascii="宋体" w:hAnsi="宋体"/>
          <w:sz w:val="28"/>
          <w:highlight w:val="none"/>
        </w:rPr>
        <w:t xml:space="preserve"> 联系人: 赵晨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 xml:space="preserve">    </w:t>
      </w:r>
      <w:r>
        <w:rPr>
          <w:rFonts w:hint="eastAsia" w:ascii="宋体" w:hAnsi="宋体"/>
          <w:sz w:val="28"/>
          <w:highlight w:val="none"/>
        </w:rPr>
        <w:t xml:space="preserve">电  话: </w:t>
      </w:r>
      <w:r>
        <w:rPr>
          <w:rFonts w:ascii="宋体" w:hAnsi="宋体"/>
          <w:sz w:val="28"/>
          <w:highlight w:val="none"/>
        </w:rPr>
        <w:t>18951421688</w:t>
      </w:r>
    </w:p>
    <w:p>
      <w:pPr>
        <w:spacing w:line="540" w:lineRule="exact"/>
        <w:rPr>
          <w:rFonts w:hint="eastAsia" w:ascii="宋体" w:hAnsi="宋体"/>
          <w:sz w:val="28"/>
          <w:highlight w:val="none"/>
        </w:rPr>
        <w:sectPr>
          <w:pgSz w:w="11906" w:h="16838"/>
          <w:pgMar w:top="1134" w:right="1531" w:bottom="1134" w:left="1531" w:header="851" w:footer="992" w:gutter="0"/>
          <w:cols w:space="720" w:num="1"/>
          <w:docGrid w:type="lines" w:linePitch="312" w:charSpace="0"/>
        </w:sectPr>
      </w:pPr>
    </w:p>
    <w:p>
      <w:pPr>
        <w:spacing w:line="540" w:lineRule="exact"/>
        <w:rPr>
          <w:rFonts w:hint="eastAsia" w:ascii="宋体" w:hAnsi="宋体"/>
          <w:sz w:val="28"/>
          <w:highlight w:val="none"/>
        </w:rPr>
      </w:pPr>
      <w:r>
        <w:rPr>
          <w:rFonts w:hint="eastAsia" w:ascii="宋体" w:hAnsi="宋体"/>
          <w:sz w:val="28"/>
          <w:highlight w:val="none"/>
        </w:rPr>
        <w:t>五、报价文件的基本格式</w:t>
      </w:r>
    </w:p>
    <w:p>
      <w:pPr>
        <w:spacing w:line="540" w:lineRule="exact"/>
        <w:jc w:val="center"/>
        <w:rPr>
          <w:rFonts w:hint="eastAsia" w:ascii="宋体" w:hAnsi="宋体"/>
          <w:sz w:val="28"/>
          <w:highlight w:val="none"/>
          <w:u w:val="single"/>
        </w:rPr>
      </w:pPr>
    </w:p>
    <w:p>
      <w:pPr>
        <w:spacing w:line="540" w:lineRule="exact"/>
        <w:jc w:val="center"/>
        <w:rPr>
          <w:rFonts w:hint="eastAsia" w:ascii="宋体" w:hAnsi="宋体"/>
          <w:sz w:val="28"/>
          <w:highlight w:val="none"/>
          <w:u w:val="single"/>
        </w:rPr>
      </w:pPr>
    </w:p>
    <w:p>
      <w:pPr>
        <w:spacing w:line="540" w:lineRule="exact"/>
        <w:jc w:val="center"/>
        <w:rPr>
          <w:rFonts w:hint="eastAsia" w:ascii="宋体" w:hAnsi="宋体"/>
          <w:sz w:val="28"/>
          <w:highlight w:val="none"/>
          <w:u w:val="single"/>
        </w:rPr>
      </w:pPr>
    </w:p>
    <w:p>
      <w:pPr>
        <w:spacing w:line="540" w:lineRule="exact"/>
        <w:jc w:val="center"/>
        <w:rPr>
          <w:rFonts w:ascii="宋体" w:hAnsi="宋体"/>
          <w:sz w:val="32"/>
          <w:szCs w:val="32"/>
          <w:highlight w:val="none"/>
          <w:u w:val="single"/>
        </w:rPr>
      </w:pPr>
      <w:r>
        <w:rPr>
          <w:rFonts w:hint="eastAsia" w:ascii="宋体" w:hAnsi="宋体"/>
          <w:sz w:val="32"/>
          <w:szCs w:val="32"/>
          <w:highlight w:val="none"/>
          <w:u w:val="single"/>
        </w:rPr>
        <w:t>海安裕海贸易有限公司</w:t>
      </w:r>
    </w:p>
    <w:p>
      <w:pPr>
        <w:spacing w:line="540" w:lineRule="exact"/>
        <w:jc w:val="center"/>
        <w:rPr>
          <w:rFonts w:hint="eastAsia" w:ascii="宋体" w:hAnsi="宋体"/>
          <w:sz w:val="32"/>
          <w:szCs w:val="32"/>
          <w:highlight w:val="none"/>
        </w:rPr>
      </w:pPr>
      <w:r>
        <w:rPr>
          <w:rFonts w:hint="eastAsia" w:ascii="宋体" w:hAnsi="宋体"/>
          <w:sz w:val="32"/>
          <w:szCs w:val="32"/>
          <w:highlight w:val="none"/>
          <w:u w:val="single"/>
          <w:lang w:val="en-US" w:eastAsia="zh-CN"/>
        </w:rPr>
        <w:t>电磁流量计及电控阀门等设备</w:t>
      </w:r>
      <w:r>
        <w:rPr>
          <w:rFonts w:hint="eastAsia" w:ascii="宋体" w:hAnsi="宋体"/>
          <w:sz w:val="32"/>
          <w:szCs w:val="32"/>
          <w:highlight w:val="none"/>
          <w:u w:val="single"/>
        </w:rPr>
        <w:t>采购</w:t>
      </w:r>
      <w:r>
        <w:rPr>
          <w:rFonts w:hint="eastAsia" w:ascii="宋体" w:hAnsi="宋体"/>
          <w:sz w:val="32"/>
          <w:szCs w:val="32"/>
          <w:highlight w:val="none"/>
        </w:rPr>
        <w:t>项目</w:t>
      </w: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jc w:val="center"/>
        <w:rPr>
          <w:rFonts w:hint="eastAsia" w:ascii="宋体" w:hAnsi="宋体"/>
          <w:sz w:val="72"/>
          <w:szCs w:val="72"/>
          <w:highlight w:val="none"/>
        </w:rPr>
      </w:pPr>
      <w:r>
        <w:rPr>
          <w:rFonts w:hint="eastAsia" w:ascii="宋体" w:hAnsi="宋体"/>
          <w:sz w:val="72"/>
          <w:szCs w:val="72"/>
          <w:highlight w:val="none"/>
        </w:rPr>
        <w:t xml:space="preserve">报 </w:t>
      </w:r>
      <w:r>
        <w:rPr>
          <w:rFonts w:ascii="宋体" w:hAnsi="宋体"/>
          <w:sz w:val="72"/>
          <w:szCs w:val="72"/>
          <w:highlight w:val="none"/>
        </w:rPr>
        <w:t xml:space="preserve"> </w:t>
      </w:r>
      <w:r>
        <w:rPr>
          <w:rFonts w:hint="eastAsia" w:ascii="宋体" w:hAnsi="宋体"/>
          <w:sz w:val="72"/>
          <w:szCs w:val="72"/>
          <w:highlight w:val="none"/>
        </w:rPr>
        <w:t>价  文  件</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报价人(盖章):</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法定代表人或委托代理人(签字):</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日  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jc w:val="center"/>
        <w:rPr>
          <w:rFonts w:hint="eastAsia" w:ascii="宋体" w:hAnsi="宋体"/>
          <w:sz w:val="28"/>
          <w:highlight w:val="none"/>
        </w:rPr>
      </w:pPr>
    </w:p>
    <w:p>
      <w:pPr>
        <w:spacing w:line="580" w:lineRule="exact"/>
        <w:jc w:val="center"/>
        <w:rPr>
          <w:rFonts w:hint="eastAsia" w:ascii="宋体" w:hAnsi="宋体"/>
          <w:sz w:val="28"/>
          <w:highlight w:val="none"/>
        </w:rPr>
      </w:pPr>
      <w:r>
        <w:rPr>
          <w:rFonts w:hint="eastAsia" w:ascii="宋体" w:hAnsi="宋体"/>
          <w:sz w:val="28"/>
          <w:highlight w:val="none"/>
        </w:rPr>
        <w:t>法定代表人身份证明书</w:t>
      </w:r>
    </w:p>
    <w:p>
      <w:pPr>
        <w:spacing w:line="580" w:lineRule="exact"/>
        <w:rPr>
          <w:rFonts w:hint="eastAsia" w:ascii="宋体" w:hAnsi="宋体"/>
          <w:sz w:val="28"/>
          <w:highlight w:val="none"/>
        </w:rPr>
      </w:pPr>
      <w:r>
        <w:rPr>
          <w:rFonts w:hint="eastAsia" w:ascii="宋体" w:hAnsi="宋体"/>
          <w:sz w:val="28"/>
          <w:highlight w:val="none"/>
        </w:rPr>
        <w:t>单位名称:</w:t>
      </w:r>
    </w:p>
    <w:p>
      <w:pPr>
        <w:spacing w:line="580" w:lineRule="exact"/>
        <w:rPr>
          <w:rFonts w:hint="eastAsia" w:ascii="宋体" w:hAnsi="宋体"/>
          <w:sz w:val="28"/>
          <w:highlight w:val="none"/>
        </w:rPr>
      </w:pPr>
      <w:r>
        <w:rPr>
          <w:rFonts w:hint="eastAsia" w:ascii="宋体" w:hAnsi="宋体"/>
          <w:sz w:val="28"/>
          <w:highlight w:val="none"/>
        </w:rPr>
        <w:t>单位性质:</w:t>
      </w:r>
    </w:p>
    <w:p>
      <w:pPr>
        <w:spacing w:line="580" w:lineRule="exact"/>
        <w:rPr>
          <w:rFonts w:hint="eastAsia" w:ascii="宋体" w:hAnsi="宋体"/>
          <w:sz w:val="28"/>
          <w:highlight w:val="none"/>
        </w:rPr>
      </w:pPr>
      <w:r>
        <w:rPr>
          <w:rFonts w:hint="eastAsia" w:ascii="宋体" w:hAnsi="宋体"/>
          <w:sz w:val="28"/>
          <w:highlight w:val="none"/>
        </w:rPr>
        <w:t>地    址:</w:t>
      </w:r>
    </w:p>
    <w:p>
      <w:pPr>
        <w:spacing w:line="580" w:lineRule="exact"/>
        <w:rPr>
          <w:rFonts w:hint="eastAsia" w:ascii="宋体" w:hAnsi="宋体"/>
          <w:sz w:val="28"/>
          <w:highlight w:val="none"/>
        </w:rPr>
      </w:pPr>
      <w:r>
        <w:rPr>
          <w:rFonts w:hint="eastAsia" w:ascii="宋体" w:hAnsi="宋体"/>
          <w:sz w:val="28"/>
          <w:highlight w:val="none"/>
        </w:rPr>
        <w:t>成立时间:</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80" w:lineRule="exact"/>
        <w:rPr>
          <w:rFonts w:hint="eastAsia" w:ascii="宋体" w:hAnsi="宋体"/>
          <w:sz w:val="28"/>
          <w:highlight w:val="none"/>
        </w:rPr>
      </w:pPr>
      <w:r>
        <w:rPr>
          <w:rFonts w:hint="eastAsia" w:ascii="宋体" w:hAnsi="宋体"/>
          <w:sz w:val="28"/>
          <w:highlight w:val="none"/>
        </w:rPr>
        <w:t>经营期限:</w:t>
      </w:r>
    </w:p>
    <w:p>
      <w:pPr>
        <w:spacing w:line="580" w:lineRule="exact"/>
        <w:rPr>
          <w:rFonts w:hint="eastAsia" w:ascii="宋体" w:hAnsi="宋体"/>
          <w:sz w:val="28"/>
          <w:highlight w:val="none"/>
        </w:rPr>
      </w:pPr>
      <w:r>
        <w:rPr>
          <w:rFonts w:hint="eastAsia" w:ascii="宋体" w:hAnsi="宋体"/>
          <w:sz w:val="28"/>
          <w:highlight w:val="none"/>
        </w:rPr>
        <w:t>姓    名：</w:t>
      </w:r>
      <w:r>
        <w:rPr>
          <w:rFonts w:hint="eastAsia" w:ascii="宋体" w:hAnsi="宋体"/>
          <w:sz w:val="28"/>
          <w:highlight w:val="none"/>
          <w:u w:val="single"/>
        </w:rPr>
        <w:t xml:space="preserve">          </w:t>
      </w:r>
      <w:r>
        <w:rPr>
          <w:rFonts w:hint="eastAsia" w:ascii="宋体" w:hAnsi="宋体"/>
          <w:sz w:val="28"/>
          <w:highlight w:val="none"/>
        </w:rPr>
        <w:t>性别：</w:t>
      </w:r>
      <w:r>
        <w:rPr>
          <w:rFonts w:hint="eastAsia" w:ascii="宋体" w:hAnsi="宋体"/>
          <w:sz w:val="28"/>
          <w:highlight w:val="none"/>
          <w:u w:val="single"/>
        </w:rPr>
        <w:t xml:space="preserve">        </w:t>
      </w:r>
      <w:r>
        <w:rPr>
          <w:rFonts w:hint="eastAsia" w:ascii="宋体" w:hAnsi="宋体"/>
          <w:sz w:val="28"/>
          <w:highlight w:val="none"/>
        </w:rPr>
        <w:t>年龄：</w:t>
      </w:r>
      <w:r>
        <w:rPr>
          <w:rFonts w:hint="eastAsia" w:ascii="宋体" w:hAnsi="宋体"/>
          <w:sz w:val="28"/>
          <w:highlight w:val="none"/>
          <w:u w:val="single"/>
        </w:rPr>
        <w:t xml:space="preserve">        </w:t>
      </w:r>
    </w:p>
    <w:p>
      <w:pPr>
        <w:spacing w:line="580" w:lineRule="exact"/>
        <w:rPr>
          <w:rFonts w:hint="eastAsia" w:ascii="宋体" w:hAnsi="宋体"/>
          <w:sz w:val="28"/>
          <w:highlight w:val="none"/>
          <w:u w:val="single"/>
        </w:rPr>
      </w:pPr>
      <w:r>
        <w:rPr>
          <w:rFonts w:hint="eastAsia" w:ascii="宋体" w:hAnsi="宋体"/>
          <w:sz w:val="28"/>
          <w:highlight w:val="none"/>
        </w:rPr>
        <w:t>职    务：</w:t>
      </w:r>
      <w:r>
        <w:rPr>
          <w:rFonts w:hint="eastAsia" w:ascii="宋体" w:hAnsi="宋体"/>
          <w:sz w:val="28"/>
          <w:highlight w:val="none"/>
          <w:u w:val="single"/>
        </w:rPr>
        <w:t xml:space="preserve">          </w:t>
      </w:r>
      <w:r>
        <w:rPr>
          <w:rFonts w:hint="eastAsia" w:ascii="宋体" w:hAnsi="宋体"/>
          <w:sz w:val="28"/>
          <w:highlight w:val="none"/>
        </w:rPr>
        <w:t>系：</w:t>
      </w:r>
      <w:r>
        <w:rPr>
          <w:rFonts w:hint="eastAsia" w:ascii="宋体" w:hAnsi="宋体"/>
          <w:sz w:val="28"/>
          <w:highlight w:val="none"/>
          <w:u w:val="single"/>
        </w:rPr>
        <w:t xml:space="preserve">    (报价人单位名称)</w:t>
      </w:r>
    </w:p>
    <w:p>
      <w:pPr>
        <w:spacing w:line="580" w:lineRule="exact"/>
        <w:rPr>
          <w:rFonts w:hint="eastAsia" w:ascii="宋体" w:hAnsi="宋体"/>
          <w:sz w:val="28"/>
          <w:highlight w:val="none"/>
          <w:u w:val="single"/>
        </w:rPr>
      </w:pPr>
      <w:r>
        <w:rPr>
          <w:rFonts w:hint="eastAsia" w:ascii="宋体" w:hAnsi="宋体"/>
          <w:sz w:val="28"/>
          <w:highlight w:val="none"/>
          <w:u w:val="single"/>
        </w:rPr>
        <w:t xml:space="preserve">                                   </w:t>
      </w:r>
      <w:r>
        <w:rPr>
          <w:rFonts w:hint="eastAsia" w:ascii="宋体" w:hAnsi="宋体"/>
          <w:sz w:val="28"/>
          <w:highlight w:val="none"/>
        </w:rPr>
        <w:t>的法定代表人。</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r>
        <w:rPr>
          <w:rFonts w:hint="eastAsia" w:ascii="宋体" w:hAnsi="宋体"/>
          <w:sz w:val="28"/>
          <w:highlight w:val="none"/>
        </w:rPr>
        <w:t>特此证明</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4200" w:firstLineChars="1500"/>
        <w:rPr>
          <w:rFonts w:hint="eastAsia" w:ascii="宋体" w:hAnsi="宋体"/>
          <w:sz w:val="28"/>
          <w:highlight w:val="none"/>
        </w:rPr>
      </w:pPr>
      <w:r>
        <w:rPr>
          <w:rFonts w:hint="eastAsia" w:ascii="宋体" w:hAnsi="宋体"/>
          <w:sz w:val="28"/>
          <w:highlight w:val="none"/>
        </w:rPr>
        <w:t>供应商(盖法人章):</w:t>
      </w:r>
    </w:p>
    <w:p>
      <w:pPr>
        <w:spacing w:line="580" w:lineRule="exact"/>
        <w:ind w:firstLine="4200" w:firstLineChars="1500"/>
        <w:rPr>
          <w:rFonts w:hint="eastAsia" w:ascii="宋体" w:hAnsi="宋体"/>
          <w:sz w:val="28"/>
          <w:highlight w:val="none"/>
        </w:rPr>
      </w:pPr>
    </w:p>
    <w:p>
      <w:pPr>
        <w:spacing w:line="580" w:lineRule="exact"/>
        <w:ind w:firstLine="4200" w:firstLineChars="1500"/>
        <w:rPr>
          <w:rFonts w:hint="eastAsia" w:ascii="宋体" w:hAnsi="宋体"/>
          <w:sz w:val="28"/>
          <w:highlight w:val="none"/>
          <w:u w:val="single"/>
        </w:rPr>
      </w:pPr>
      <w:r>
        <w:rPr>
          <w:rFonts w:hint="eastAsia" w:ascii="宋体" w:hAnsi="宋体"/>
          <w:sz w:val="28"/>
          <w:highlight w:val="none"/>
        </w:rPr>
        <w:t>日  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80" w:lineRule="exact"/>
        <w:jc w:val="center"/>
        <w:rPr>
          <w:rFonts w:hint="eastAsia" w:ascii="宋体" w:hAnsi="宋体"/>
          <w:sz w:val="28"/>
          <w:highlight w:val="none"/>
        </w:rPr>
      </w:pPr>
      <w:r>
        <w:rPr>
          <w:rFonts w:hint="eastAsia" w:ascii="宋体" w:hAnsi="宋体"/>
          <w:sz w:val="28"/>
          <w:highlight w:val="none"/>
        </w:rPr>
        <w:t>授权委托书</w:t>
      </w: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本授权委托书声明:我</w:t>
      </w:r>
      <w:r>
        <w:rPr>
          <w:rFonts w:hint="eastAsia" w:ascii="宋体" w:hAnsi="宋体"/>
          <w:sz w:val="28"/>
          <w:highlight w:val="none"/>
          <w:u w:val="single"/>
        </w:rPr>
        <w:t xml:space="preserve">         </w:t>
      </w:r>
      <w:r>
        <w:rPr>
          <w:rFonts w:hint="eastAsia" w:ascii="宋体" w:hAnsi="宋体"/>
          <w:sz w:val="28"/>
          <w:highlight w:val="none"/>
        </w:rPr>
        <w:t>(姓名)系</w:t>
      </w:r>
      <w:r>
        <w:rPr>
          <w:rFonts w:hint="eastAsia" w:ascii="宋体" w:hAnsi="宋体"/>
          <w:sz w:val="28"/>
          <w:highlight w:val="none"/>
          <w:u w:val="single"/>
        </w:rPr>
        <w:t xml:space="preserve">           </w:t>
      </w:r>
      <w:r>
        <w:rPr>
          <w:rFonts w:hint="eastAsia" w:ascii="宋体" w:hAnsi="宋体"/>
          <w:sz w:val="28"/>
          <w:highlight w:val="none"/>
        </w:rPr>
        <w:t>(报价人名称)的法定代表人，现授权委托</w:t>
      </w:r>
      <w:r>
        <w:rPr>
          <w:rFonts w:hint="eastAsia" w:ascii="宋体" w:hAnsi="宋体"/>
          <w:sz w:val="28"/>
          <w:highlight w:val="none"/>
          <w:u w:val="single"/>
        </w:rPr>
        <w:t xml:space="preserve">               </w:t>
      </w:r>
      <w:r>
        <w:rPr>
          <w:rFonts w:hint="eastAsia" w:ascii="宋体" w:hAnsi="宋体"/>
          <w:sz w:val="28"/>
          <w:highlight w:val="none"/>
        </w:rPr>
        <w:t>(单位名称)</w:t>
      </w:r>
      <w:r>
        <w:rPr>
          <w:rFonts w:hint="eastAsia" w:ascii="宋体" w:hAnsi="宋体"/>
          <w:sz w:val="28"/>
          <w:highlight w:val="none"/>
          <w:u w:val="single"/>
        </w:rPr>
        <w:t xml:space="preserve">       </w:t>
      </w:r>
      <w:r>
        <w:rPr>
          <w:rFonts w:hint="eastAsia" w:ascii="宋体" w:hAnsi="宋体"/>
          <w:sz w:val="28"/>
          <w:highlight w:val="none"/>
        </w:rPr>
        <w:t>（姓名）为我单位的合法代理人，以本公司的名义参加</w:t>
      </w:r>
      <w:r>
        <w:rPr>
          <w:rFonts w:hint="eastAsia" w:ascii="宋体" w:hAnsi="宋体"/>
          <w:sz w:val="28"/>
          <w:highlight w:val="none"/>
          <w:u w:val="single"/>
        </w:rPr>
        <w:t xml:space="preserve">                </w:t>
      </w:r>
      <w:r>
        <w:rPr>
          <w:rFonts w:hint="eastAsia" w:ascii="宋体" w:hAnsi="宋体"/>
          <w:sz w:val="28"/>
          <w:highlight w:val="none"/>
        </w:rPr>
        <w:t>(采购人名称)的</w:t>
      </w:r>
      <w:r>
        <w:rPr>
          <w:rFonts w:hint="eastAsia" w:ascii="宋体" w:hAnsi="宋体"/>
          <w:sz w:val="28"/>
          <w:highlight w:val="none"/>
          <w:u w:val="single"/>
        </w:rPr>
        <w:t>电磁流量计及电控阀门等设备</w:t>
      </w:r>
      <w:r>
        <w:rPr>
          <w:rFonts w:hint="eastAsia" w:ascii="宋体" w:hAnsi="宋体"/>
          <w:sz w:val="28"/>
          <w:highlight w:val="none"/>
        </w:rPr>
        <w:t>项目。代理人所签署的一切文件和处理与之有关的一切事务，我均予承认。</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代理人无转委权，特此委托。</w:t>
      </w:r>
    </w:p>
    <w:p>
      <w:pPr>
        <w:spacing w:line="580" w:lineRule="exact"/>
        <w:ind w:firstLine="560" w:firstLineChars="200"/>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代理人(签字):</w:t>
      </w:r>
      <w:r>
        <w:rPr>
          <w:rFonts w:hint="eastAsia" w:ascii="宋体" w:hAnsi="宋体"/>
          <w:sz w:val="28"/>
          <w:highlight w:val="none"/>
          <w:u w:val="single"/>
        </w:rPr>
        <w:t xml:space="preserve">          </w:t>
      </w:r>
      <w:r>
        <w:rPr>
          <w:rFonts w:hint="eastAsia" w:ascii="宋体" w:hAnsi="宋体"/>
          <w:sz w:val="28"/>
          <w:highlight w:val="none"/>
        </w:rPr>
        <w:t>性别:</w:t>
      </w:r>
      <w:r>
        <w:rPr>
          <w:rFonts w:hint="eastAsia" w:ascii="宋体" w:hAnsi="宋体"/>
          <w:sz w:val="28"/>
          <w:highlight w:val="none"/>
          <w:u w:val="single"/>
        </w:rPr>
        <w:t xml:space="preserve">        </w:t>
      </w:r>
      <w:r>
        <w:rPr>
          <w:rFonts w:hint="eastAsia" w:ascii="宋体" w:hAnsi="宋体"/>
          <w:sz w:val="28"/>
          <w:highlight w:val="none"/>
        </w:rPr>
        <w:t>年龄:</w:t>
      </w:r>
      <w:r>
        <w:rPr>
          <w:rFonts w:hint="eastAsia" w:ascii="宋体" w:hAnsi="宋体"/>
          <w:sz w:val="28"/>
          <w:highlight w:val="none"/>
          <w:u w:val="single"/>
        </w:rPr>
        <w:t xml:space="preserve">         </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身份证号码:</w:t>
      </w:r>
      <w:r>
        <w:rPr>
          <w:rFonts w:hint="eastAsia" w:ascii="宋体" w:hAnsi="宋体"/>
          <w:sz w:val="28"/>
          <w:highlight w:val="none"/>
          <w:u w:val="single"/>
        </w:rPr>
        <w:t xml:space="preserve">                        </w:t>
      </w:r>
      <w:r>
        <w:rPr>
          <w:rFonts w:hint="eastAsia" w:ascii="宋体" w:hAnsi="宋体"/>
          <w:sz w:val="28"/>
          <w:highlight w:val="none"/>
        </w:rPr>
        <w:t>职务:</w:t>
      </w:r>
      <w:r>
        <w:rPr>
          <w:rFonts w:hint="eastAsia" w:ascii="宋体" w:hAnsi="宋体"/>
          <w:sz w:val="28"/>
          <w:highlight w:val="none"/>
          <w:u w:val="single"/>
        </w:rPr>
        <w:t xml:space="preserve">          </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供应商(盖法人章):</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法定代表人(签字):</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授权日期:      年     月    日</w:t>
      </w:r>
    </w:p>
    <w:p>
      <w:pPr>
        <w:spacing w:line="540" w:lineRule="exact"/>
        <w:rPr>
          <w:rFonts w:hint="eastAsia" w:ascii="宋体" w:hAnsi="宋体"/>
          <w:sz w:val="28"/>
          <w:highlight w:val="none"/>
        </w:rPr>
      </w:pPr>
      <w:r>
        <w:rPr>
          <w:rFonts w:hint="eastAsia" w:ascii="宋体" w:hAnsi="宋体"/>
          <w:sz w:val="28"/>
          <w:highlight w:val="none"/>
        </w:rPr>
        <w:t xml:space="preserve">  </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jc w:val="center"/>
        <w:rPr>
          <w:rFonts w:hint="eastAsia" w:ascii="宋体" w:hAnsi="宋体"/>
          <w:sz w:val="28"/>
          <w:highlight w:val="none"/>
        </w:rPr>
      </w:pPr>
      <w:r>
        <w:rPr>
          <w:rFonts w:hint="eastAsia" w:ascii="宋体" w:hAnsi="宋体"/>
          <w:sz w:val="28"/>
          <w:highlight w:val="none"/>
        </w:rPr>
        <w:t>报价函</w:t>
      </w:r>
      <w:r>
        <w:rPr>
          <w:rFonts w:hint="eastAsia" w:ascii="宋体" w:hAnsi="宋体"/>
          <w:b/>
          <w:sz w:val="28"/>
          <w:highlight w:val="none"/>
        </w:rPr>
        <w:t>（</w:t>
      </w:r>
      <w:r>
        <w:rPr>
          <w:rFonts w:hint="eastAsia" w:ascii="宋体" w:hAnsi="宋体"/>
          <w:b/>
          <w:sz w:val="28"/>
          <w:highlight w:val="none"/>
          <w:lang w:val="en-US" w:eastAsia="zh-CN"/>
        </w:rPr>
        <w:t>最终</w:t>
      </w:r>
      <w:r>
        <w:rPr>
          <w:rFonts w:hint="eastAsia" w:ascii="宋体" w:hAnsi="宋体"/>
          <w:b/>
          <w:sz w:val="28"/>
          <w:highlight w:val="none"/>
        </w:rPr>
        <w:t>报价）</w:t>
      </w:r>
    </w:p>
    <w:p>
      <w:pPr>
        <w:spacing w:line="540" w:lineRule="exact"/>
        <w:rPr>
          <w:rFonts w:hint="eastAsia" w:ascii="宋体" w:hAnsi="宋体"/>
          <w:sz w:val="28"/>
          <w:highlight w:val="none"/>
        </w:rPr>
      </w:pPr>
      <w:r>
        <w:rPr>
          <w:rFonts w:hint="eastAsia" w:ascii="宋体" w:hAnsi="宋体"/>
          <w:sz w:val="28"/>
          <w:highlight w:val="none"/>
          <w:u w:val="single"/>
        </w:rPr>
        <w:t xml:space="preserve">                          </w:t>
      </w:r>
      <w:r>
        <w:rPr>
          <w:rFonts w:hint="eastAsia" w:ascii="宋体" w:hAnsi="宋体"/>
          <w:sz w:val="28"/>
          <w:highlight w:val="none"/>
        </w:rPr>
        <w:t xml:space="preserve">：    </w:t>
      </w:r>
    </w:p>
    <w:p>
      <w:pPr>
        <w:spacing w:line="540" w:lineRule="exact"/>
        <w:ind w:firstLine="560" w:firstLineChars="200"/>
        <w:rPr>
          <w:rFonts w:hint="eastAsia" w:ascii="宋体" w:hAnsi="宋体"/>
          <w:sz w:val="28"/>
          <w:highlight w:val="none"/>
        </w:rPr>
      </w:pPr>
      <w:r>
        <w:rPr>
          <w:rFonts w:hint="eastAsia" w:ascii="宋体" w:hAnsi="宋体"/>
          <w:sz w:val="28"/>
          <w:highlight w:val="none"/>
        </w:rPr>
        <w:t>我们已收到你们的采购文件，经仔细阅读研究，我们决定参加报价， 并作如下承诺:</w:t>
      </w:r>
    </w:p>
    <w:p>
      <w:pPr>
        <w:jc w:val="left"/>
        <w:rPr>
          <w:rFonts w:hint="eastAsia" w:ascii="宋体" w:hAnsi="宋体"/>
          <w:sz w:val="28"/>
          <w:highlight w:val="none"/>
        </w:rPr>
      </w:pPr>
      <w:r>
        <w:rPr>
          <w:rFonts w:hint="eastAsia" w:ascii="宋体" w:hAnsi="宋体"/>
          <w:sz w:val="28"/>
          <w:highlight w:val="none"/>
        </w:rPr>
        <w:t xml:space="preserve">    1、愿意按照采购文件的一切要求，向</w:t>
      </w:r>
      <w:r>
        <w:rPr>
          <w:rFonts w:hint="eastAsia" w:ascii="宋体" w:hAnsi="宋体"/>
          <w:sz w:val="28"/>
          <w:highlight w:val="none"/>
          <w:u w:val="single"/>
        </w:rPr>
        <w:t>海安裕海贸易有限公司</w:t>
      </w:r>
      <w:r>
        <w:rPr>
          <w:rFonts w:hint="eastAsia" w:ascii="宋体" w:hAnsi="宋体"/>
          <w:sz w:val="28"/>
          <w:highlight w:val="none"/>
        </w:rPr>
        <w:t>提供本采购文件中载明的标的物及其所有服务，全费用成交费率为</w:t>
      </w:r>
      <w:r>
        <w:rPr>
          <w:rFonts w:hint="eastAsia" w:ascii="宋体" w:hAnsi="宋体"/>
          <w:sz w:val="28"/>
          <w:highlight w:val="none"/>
          <w:u w:val="single"/>
        </w:rPr>
        <w:t xml:space="preserve">    </w:t>
      </w:r>
      <w:r>
        <w:rPr>
          <w:rFonts w:hint="eastAsia" w:ascii="宋体" w:hAnsi="宋体"/>
          <w:sz w:val="28"/>
          <w:highlight w:val="none"/>
        </w:rPr>
        <w:t>%（保留小数点后两位），明细见《报价明细表》。</w:t>
      </w:r>
    </w:p>
    <w:p>
      <w:pPr>
        <w:spacing w:line="540" w:lineRule="exact"/>
        <w:rPr>
          <w:rFonts w:hint="eastAsia" w:ascii="宋体" w:hAnsi="宋体"/>
          <w:sz w:val="28"/>
          <w:highlight w:val="none"/>
        </w:rPr>
      </w:pPr>
      <w:r>
        <w:rPr>
          <w:rFonts w:hint="eastAsia" w:ascii="宋体" w:hAnsi="宋体"/>
          <w:sz w:val="28"/>
          <w:highlight w:val="none"/>
        </w:rPr>
        <w:t xml:space="preserve">    2、如果我们的报价文件被接受，我们将严格履行采购文件中规定的每一项要求，按期、按质、按量履行义务。</w:t>
      </w:r>
    </w:p>
    <w:p>
      <w:pPr>
        <w:spacing w:line="540" w:lineRule="exact"/>
        <w:rPr>
          <w:rFonts w:hint="eastAsia" w:ascii="宋体" w:hAnsi="宋体"/>
          <w:sz w:val="28"/>
          <w:highlight w:val="none"/>
        </w:rPr>
      </w:pPr>
      <w:r>
        <w:rPr>
          <w:rFonts w:hint="eastAsia" w:ascii="宋体" w:hAnsi="宋体"/>
          <w:sz w:val="28"/>
          <w:highlight w:val="none"/>
        </w:rPr>
        <w:t xml:space="preserve">    3、我们愿意提供采购人在采购文件中要求的所有资料。</w:t>
      </w:r>
    </w:p>
    <w:p>
      <w:pPr>
        <w:spacing w:line="540" w:lineRule="exact"/>
        <w:rPr>
          <w:rFonts w:hint="eastAsia" w:ascii="宋体" w:hAnsi="宋体"/>
          <w:sz w:val="28"/>
          <w:highlight w:val="none"/>
        </w:rPr>
      </w:pPr>
      <w:r>
        <w:rPr>
          <w:rFonts w:hint="eastAsia" w:ascii="宋体" w:hAnsi="宋体"/>
          <w:sz w:val="28"/>
          <w:highlight w:val="none"/>
        </w:rPr>
        <w:t xml:space="preserve">    4、我们同意你们的定标方法，同时认为较低的报价和较高的优惠比例是中标的重要选择标准，但不是唯一的选择标准。</w:t>
      </w:r>
    </w:p>
    <w:p>
      <w:pPr>
        <w:spacing w:line="540" w:lineRule="exact"/>
        <w:rPr>
          <w:rFonts w:hint="eastAsia" w:ascii="宋体" w:hAnsi="宋体"/>
          <w:sz w:val="28"/>
          <w:highlight w:val="none"/>
        </w:rPr>
      </w:pPr>
      <w:r>
        <w:rPr>
          <w:rFonts w:hint="eastAsia" w:ascii="宋体" w:hAnsi="宋体"/>
          <w:sz w:val="28"/>
          <w:highlight w:val="none"/>
        </w:rPr>
        <w:t xml:space="preserve">    5、我们愿意遵守采购文件中所列的收费标准，同时承担采购文件中对供应商规定的各项责任。</w:t>
      </w:r>
    </w:p>
    <w:p>
      <w:pPr>
        <w:spacing w:line="540" w:lineRule="exact"/>
        <w:ind w:left="560" w:hanging="560" w:hangingChars="200"/>
        <w:rPr>
          <w:rFonts w:hint="eastAsia" w:ascii="宋体" w:hAnsi="宋体"/>
          <w:sz w:val="28"/>
          <w:highlight w:val="none"/>
        </w:rPr>
      </w:pPr>
      <w:r>
        <w:rPr>
          <w:rFonts w:hint="eastAsia" w:ascii="宋体" w:hAnsi="宋体"/>
          <w:sz w:val="28"/>
          <w:highlight w:val="none"/>
        </w:rPr>
        <w:t xml:space="preserve">    6、该项目报价在宣布</w:t>
      </w:r>
      <w:r>
        <w:rPr>
          <w:rFonts w:hint="eastAsia" w:ascii="宋体" w:hAnsi="宋体"/>
          <w:sz w:val="28"/>
          <w:highlight w:val="none"/>
          <w:lang w:val="en-US" w:eastAsia="zh-CN"/>
        </w:rPr>
        <w:t>报价</w:t>
      </w:r>
      <w:r>
        <w:rPr>
          <w:rFonts w:hint="eastAsia" w:ascii="宋体" w:hAnsi="宋体"/>
          <w:sz w:val="28"/>
          <w:highlight w:val="none"/>
        </w:rPr>
        <w:t>后的全过程中保持有效，不作任何更改和变动。</w:t>
      </w:r>
    </w:p>
    <w:p>
      <w:pPr>
        <w:spacing w:line="540" w:lineRule="exact"/>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7</w:t>
      </w:r>
      <w:r>
        <w:rPr>
          <w:rFonts w:hint="eastAsia" w:ascii="宋体" w:hAnsi="宋体"/>
          <w:sz w:val="28"/>
          <w:highlight w:val="none"/>
        </w:rPr>
        <w:t>、如</w:t>
      </w:r>
      <w:r>
        <w:rPr>
          <w:rFonts w:hint="eastAsia" w:ascii="宋体" w:hAnsi="宋体"/>
          <w:sz w:val="28"/>
          <w:highlight w:val="none"/>
          <w:lang w:val="en-US" w:eastAsia="zh-CN"/>
        </w:rPr>
        <w:t>成交</w:t>
      </w:r>
      <w:r>
        <w:rPr>
          <w:rFonts w:hint="eastAsia" w:ascii="宋体" w:hAnsi="宋体"/>
          <w:sz w:val="28"/>
          <w:highlight w:val="none"/>
        </w:rPr>
        <w:t>，保证按采购人要求的质量标准进行供货，如抽检达不到采购要求，我们愿意承担一切损失和接受处罚。</w:t>
      </w:r>
    </w:p>
    <w:p>
      <w:pPr>
        <w:spacing w:line="540" w:lineRule="exact"/>
        <w:rPr>
          <w:rFonts w:hint="eastAsia" w:ascii="宋体" w:hAnsi="宋体"/>
          <w:sz w:val="28"/>
          <w:highlight w:val="none"/>
        </w:rPr>
      </w:pPr>
      <w:r>
        <w:rPr>
          <w:rFonts w:hint="eastAsia" w:ascii="宋体" w:hAnsi="宋体"/>
          <w:sz w:val="28"/>
          <w:highlight w:val="none"/>
        </w:rPr>
        <w:t xml:space="preserve">  </w:t>
      </w:r>
    </w:p>
    <w:p>
      <w:pPr>
        <w:spacing w:line="540" w:lineRule="exact"/>
        <w:ind w:firstLine="560" w:firstLineChars="200"/>
        <w:rPr>
          <w:rFonts w:hint="eastAsia" w:ascii="宋体" w:hAnsi="宋体"/>
          <w:sz w:val="28"/>
          <w:highlight w:val="none"/>
        </w:rPr>
      </w:pPr>
      <w:r>
        <w:rPr>
          <w:rFonts w:hint="eastAsia" w:ascii="宋体" w:hAnsi="宋体"/>
          <w:sz w:val="28"/>
          <w:highlight w:val="none"/>
        </w:rPr>
        <w:t xml:space="preserve">供应商(盖章) :      </w:t>
      </w:r>
      <w:r>
        <w:rPr>
          <w:rFonts w:ascii="宋体" w:hAnsi="宋体"/>
          <w:sz w:val="28"/>
          <w:highlight w:val="none"/>
        </w:rPr>
        <w:t xml:space="preserve">    </w:t>
      </w:r>
      <w:r>
        <w:rPr>
          <w:rFonts w:hint="eastAsia" w:ascii="宋体" w:hAnsi="宋体"/>
          <w:sz w:val="28"/>
          <w:highlight w:val="none"/>
        </w:rPr>
        <w:t xml:space="preserve">  法定代表人或代理人(签字):</w:t>
      </w:r>
    </w:p>
    <w:p>
      <w:pPr>
        <w:spacing w:line="540" w:lineRule="exact"/>
        <w:ind w:firstLine="560" w:firstLineChars="200"/>
        <w:rPr>
          <w:rFonts w:hint="eastAsia" w:ascii="宋体" w:hAnsi="宋体"/>
          <w:sz w:val="28"/>
          <w:highlight w:val="none"/>
        </w:rPr>
      </w:pPr>
    </w:p>
    <w:p>
      <w:pPr>
        <w:spacing w:line="540" w:lineRule="exact"/>
        <w:ind w:firstLine="560" w:firstLineChars="200"/>
        <w:rPr>
          <w:rFonts w:hint="eastAsia" w:ascii="宋体" w:hAnsi="宋体"/>
          <w:sz w:val="28"/>
          <w:highlight w:val="none"/>
        </w:rPr>
      </w:pPr>
      <w:r>
        <w:rPr>
          <w:rFonts w:hint="eastAsia" w:ascii="宋体" w:hAnsi="宋体"/>
          <w:sz w:val="28"/>
          <w:highlight w:val="none"/>
        </w:rPr>
        <w:t xml:space="preserve">                                        年   月   日</w:t>
      </w: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rPr>
          <w:rFonts w:hint="eastAsia" w:ascii="宋体" w:hAnsi="宋体"/>
          <w:sz w:val="28"/>
          <w:highlight w:val="none"/>
        </w:rPr>
      </w:pPr>
    </w:p>
    <w:p>
      <w:pPr>
        <w:pStyle w:val="13"/>
        <w:adjustRightInd w:val="0"/>
        <w:snapToGrid w:val="0"/>
        <w:spacing w:before="0" w:beforeAutospacing="0" w:after="0" w:afterAutospacing="0" w:line="360" w:lineRule="auto"/>
        <w:jc w:val="center"/>
        <w:rPr>
          <w:b/>
          <w:sz w:val="30"/>
          <w:szCs w:val="30"/>
          <w:highlight w:val="none"/>
        </w:rPr>
      </w:pPr>
      <w:r>
        <w:rPr>
          <w:rFonts w:hint="eastAsia"/>
          <w:b/>
          <w:sz w:val="30"/>
          <w:szCs w:val="30"/>
          <w:highlight w:val="none"/>
        </w:rPr>
        <w:t>报价明细表（</w:t>
      </w:r>
      <w:r>
        <w:rPr>
          <w:rFonts w:hint="eastAsia"/>
          <w:b/>
          <w:sz w:val="30"/>
          <w:szCs w:val="30"/>
          <w:highlight w:val="none"/>
          <w:lang w:val="en-US" w:eastAsia="zh-CN"/>
        </w:rPr>
        <w:t>最终</w:t>
      </w:r>
      <w:r>
        <w:rPr>
          <w:rFonts w:hint="eastAsia"/>
          <w:b/>
          <w:sz w:val="30"/>
          <w:szCs w:val="30"/>
          <w:highlight w:val="none"/>
        </w:rPr>
        <w:t>报价）</w:t>
      </w:r>
    </w:p>
    <w:p>
      <w:pPr>
        <w:pStyle w:val="13"/>
        <w:adjustRightInd w:val="0"/>
        <w:snapToGrid w:val="0"/>
        <w:spacing w:before="0" w:beforeAutospacing="0" w:after="0" w:afterAutospacing="0" w:line="360" w:lineRule="auto"/>
        <w:jc w:val="right"/>
        <w:rPr>
          <w:b/>
          <w:sz w:val="16"/>
          <w:szCs w:val="30"/>
          <w:highlight w:val="none"/>
        </w:rPr>
      </w:pPr>
      <w:r>
        <w:rPr>
          <w:b/>
          <w:sz w:val="16"/>
          <w:szCs w:val="30"/>
          <w:highlight w:val="none"/>
        </w:rPr>
        <w:t>单位：元</w:t>
      </w:r>
    </w:p>
    <w:p>
      <w:pPr>
        <w:pStyle w:val="13"/>
        <w:adjustRightInd w:val="0"/>
        <w:snapToGrid w:val="0"/>
        <w:spacing w:before="0" w:beforeAutospacing="0" w:after="0" w:afterAutospacing="0" w:line="360" w:lineRule="auto"/>
        <w:jc w:val="center"/>
        <w:rPr>
          <w:rFonts w:hint="eastAsia"/>
          <w:b/>
          <w:sz w:val="16"/>
          <w:szCs w:val="30"/>
          <w:highlight w:val="none"/>
        </w:rPr>
      </w:pPr>
      <w:r>
        <w:rPr>
          <w:rFonts w:hint="eastAsia" w:ascii="宋体" w:hAnsi="宋体" w:eastAsia="宋体" w:cs="宋体"/>
          <w:color w:val="0000FF"/>
          <w:sz w:val="24"/>
          <w:szCs w:val="24"/>
          <w:highlight w:val="none"/>
          <w:lang w:val="en-US" w:eastAsia="zh-CN" w:bidi="ar-SA"/>
        </w:rPr>
        <w:t>DN300排污计量控制终端箱清单</w:t>
      </w:r>
    </w:p>
    <w:tbl>
      <w:tblPr>
        <w:tblStyle w:val="1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82"/>
        <w:gridCol w:w="4492"/>
        <w:gridCol w:w="1096"/>
        <w:gridCol w:w="676"/>
        <w:gridCol w:w="677"/>
        <w:gridCol w:w="6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序号</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名称</w:t>
            </w:r>
          </w:p>
        </w:tc>
        <w:tc>
          <w:tcPr>
            <w:tcW w:w="250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材质</w:t>
            </w:r>
          </w:p>
        </w:tc>
        <w:tc>
          <w:tcPr>
            <w:tcW w:w="485"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含税控制单价</w:t>
            </w:r>
          </w:p>
        </w:tc>
        <w:tc>
          <w:tcPr>
            <w:tcW w:w="403"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不含税成交单价</w:t>
            </w:r>
          </w:p>
        </w:tc>
        <w:tc>
          <w:tcPr>
            <w:tcW w:w="403"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含税成交单价</w:t>
            </w:r>
          </w:p>
        </w:tc>
        <w:tc>
          <w:tcPr>
            <w:tcW w:w="40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DN300电磁流量计</w:t>
            </w:r>
          </w:p>
        </w:tc>
        <w:tc>
          <w:tcPr>
            <w:tcW w:w="2509"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分体式(详见技术参数)</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19225.71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DN300伸缩节</w:t>
            </w:r>
          </w:p>
        </w:tc>
        <w:tc>
          <w:tcPr>
            <w:tcW w:w="250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材质不锈钢，含304不锈钢法兰</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1044.76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DN300电磁阀</w:t>
            </w:r>
          </w:p>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（法兰蝶阀）</w:t>
            </w:r>
          </w:p>
        </w:tc>
        <w:tc>
          <w:tcPr>
            <w:tcW w:w="250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DN300，乙丙胶不锈钢板，法兰对夹式；</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4597.14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网关及交换机</w:t>
            </w:r>
          </w:p>
        </w:tc>
        <w:tc>
          <w:tcPr>
            <w:tcW w:w="250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无线4G，Modbus设备数据采集转云平台，需与水务平台衔接；</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1002.86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UPS电源</w:t>
            </w:r>
          </w:p>
        </w:tc>
        <w:tc>
          <w:tcPr>
            <w:tcW w:w="250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断电延时2小时；</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7104.76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不锈钢箱体（控制箱）</w:t>
            </w:r>
          </w:p>
        </w:tc>
        <w:tc>
          <w:tcPr>
            <w:tcW w:w="2509"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尺寸1000mm*2000mm*高度（按排污企业排口深度制定，地面以上高度为1500mm），需将流量计、电磁阀、伸缩节补偿器安装进箱体内部，并保留维修空间，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none"/>
                <w:lang w:val="en-US" w:eastAsia="zh-CN"/>
              </w:rPr>
              <w:t>（元器件品牌至少为中高档，成交后供货前需与采购人进行确认）</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5015.24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7</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电源箱</w:t>
            </w:r>
          </w:p>
        </w:tc>
        <w:tc>
          <w:tcPr>
            <w:tcW w:w="2509"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推荐尺寸800mm*1500mm*800mm（长宽高）需将网关、UPS不间断电源安装在箱体内部，并保留维修空间，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none"/>
                <w:lang w:val="en-US" w:eastAsia="zh-CN"/>
              </w:rPr>
              <w:t>（元器件品牌至少为中高档，成交后供货前需与采购人进行确认）</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5182.86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监控（摄像头）</w:t>
            </w:r>
          </w:p>
        </w:tc>
        <w:tc>
          <w:tcPr>
            <w:tcW w:w="250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太阳能双镜头4G版本监控，需将监控界面传至水务平台</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1337.14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系统编程</w:t>
            </w:r>
          </w:p>
        </w:tc>
        <w:tc>
          <w:tcPr>
            <w:tcW w:w="2509"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含手机物联卡，将流量计瞬时流量/累积流量/阀门启停状态/传输至水务平台，并预留排污企业污染在线监控指标传输端口含（PH、COD、氨氮、总磷、总氮等）</w:t>
            </w:r>
            <w:r>
              <w:rPr>
                <w:rFonts w:hint="eastAsia" w:ascii="宋体" w:hAnsi="宋体" w:eastAsia="宋体" w:cs="宋体"/>
                <w:b/>
                <w:bCs/>
                <w:color w:val="auto"/>
                <w:sz w:val="24"/>
                <w:szCs w:val="24"/>
                <w:highlight w:val="none"/>
                <w:lang w:val="en-US" w:eastAsia="zh-CN"/>
              </w:rPr>
              <w:t>，预留端口传输方式为4G或RS485</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5013.33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r>
    </w:tbl>
    <w:p>
      <w:pPr>
        <w:widowControl/>
        <w:adjustRightInd w:val="0"/>
        <w:snapToGrid w:val="0"/>
        <w:spacing w:line="440" w:lineRule="exact"/>
        <w:ind w:firstLine="480" w:firstLineChars="200"/>
        <w:jc w:val="center"/>
        <w:rPr>
          <w:rFonts w:hint="eastAsia" w:ascii="宋体" w:hAnsi="宋体" w:cs="宋体"/>
          <w:b/>
          <w:kern w:val="0"/>
          <w:sz w:val="24"/>
          <w:highlight w:val="none"/>
          <w:lang w:val="zh-CN"/>
        </w:rPr>
      </w:pPr>
      <w:r>
        <w:rPr>
          <w:rFonts w:hint="eastAsia" w:ascii="华文楷体" w:hAnsi="华文楷体" w:eastAsia="华文楷体" w:cs="华文楷体"/>
          <w:color w:val="0000FF"/>
          <w:sz w:val="24"/>
          <w:szCs w:val="24"/>
          <w:highlight w:val="none"/>
          <w:lang w:val="en-US" w:eastAsia="zh-CN" w:bidi="ar-SA"/>
        </w:rPr>
        <w:t>DN200排污计量控制终端箱清单</w:t>
      </w:r>
    </w:p>
    <w:tbl>
      <w:tblPr>
        <w:tblStyle w:val="16"/>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70"/>
        <w:gridCol w:w="4442"/>
        <w:gridCol w:w="1096"/>
        <w:gridCol w:w="697"/>
        <w:gridCol w:w="697"/>
        <w:gridCol w:w="6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序号</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名称</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材质</w:t>
            </w:r>
          </w:p>
        </w:tc>
        <w:tc>
          <w:tcPr>
            <w:tcW w:w="4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含税控制单价</w:t>
            </w:r>
          </w:p>
        </w:tc>
        <w:tc>
          <w:tcPr>
            <w:tcW w:w="416"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不含税成交单价</w:t>
            </w:r>
          </w:p>
        </w:tc>
        <w:tc>
          <w:tcPr>
            <w:tcW w:w="416"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含税成交单价</w:t>
            </w:r>
          </w:p>
        </w:tc>
        <w:tc>
          <w:tcPr>
            <w:tcW w:w="41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1</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DN200电磁流量计</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分体式(详见技术参数)</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13048.57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2</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DN200伸缩节</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材质不锈钢，含304不锈钢法兰</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856.19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3</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DN200电磁阀</w:t>
            </w:r>
          </w:p>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（法兰蝶阀）</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DN200，乙丙胶不锈钢板，法兰对夹式；</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3669.52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4</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网关及交换机</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无线4G，Modbus设备数据采集转云平台，需与水务平台衔接；</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979.05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5</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UPS电源</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断电延时2小时；</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6932.38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6</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不锈钢箱体（控制箱）</w:t>
            </w:r>
          </w:p>
        </w:tc>
        <w:tc>
          <w:tcPr>
            <w:tcW w:w="248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尺寸1000mm*2000mm*高度（按排污企业排口深度制定，地面以上高度为1500mm），需将流量计、电磁阀、伸缩节补偿器安装进箱体内部，并保留维修空间，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none"/>
                <w:lang w:val="en-US" w:eastAsia="zh-CN"/>
              </w:rPr>
              <w:t>（元器件品牌至少为中高档，成交后供货前需与采购人进行确认）</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4078.10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7</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电源箱</w:t>
            </w:r>
          </w:p>
        </w:tc>
        <w:tc>
          <w:tcPr>
            <w:tcW w:w="248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推荐尺寸800mm*1500mm*800mm（长宽高）需将网关、UPS不间断电源安装在箱体内部，并保留维修空间，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none"/>
                <w:lang w:val="en-US" w:eastAsia="zh-CN"/>
              </w:rPr>
              <w:t>（元器件品牌至少为中高档，成交后供货前需与采购人进行确认）</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4240.95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8</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监控</w:t>
            </w:r>
          </w:p>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（摄像头）</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太阳能双镜头4G版本监控，需将监控界面传至水务平台</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1304.76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9</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系统编程</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含手机物联卡，将流量计瞬时流量/累积流量/阀门启停状态/传输至水务平台，并预留排污企业污染在线监控指标传输端口含（PH、COD、氨氮、总磷、总氮等）</w:t>
            </w:r>
            <w:r>
              <w:rPr>
                <w:rFonts w:hint="eastAsia" w:ascii="宋体" w:hAnsi="宋体" w:eastAsia="宋体" w:cs="宋体"/>
                <w:b/>
                <w:bCs/>
                <w:color w:val="auto"/>
                <w:sz w:val="24"/>
                <w:szCs w:val="24"/>
                <w:highlight w:val="none"/>
                <w:lang w:val="en-US" w:eastAsia="zh-CN"/>
              </w:rPr>
              <w:t>，预留端口传输方式为4G或RS485</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4890.48 </w:t>
            </w:r>
          </w:p>
        </w:tc>
        <w:tc>
          <w:tcPr>
            <w:tcW w:w="41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r>
    </w:tbl>
    <w:p>
      <w:pPr>
        <w:widowControl/>
        <w:adjustRightInd w:val="0"/>
        <w:snapToGrid w:val="0"/>
        <w:spacing w:line="440" w:lineRule="exact"/>
        <w:ind w:firstLine="480" w:firstLineChars="200"/>
        <w:jc w:val="center"/>
        <w:rPr>
          <w:rFonts w:hint="eastAsia" w:ascii="华文楷体" w:hAnsi="华文楷体" w:eastAsia="华文楷体" w:cs="华文楷体"/>
          <w:color w:val="0000FF"/>
          <w:sz w:val="24"/>
          <w:szCs w:val="24"/>
          <w:highlight w:val="none"/>
          <w:lang w:val="zh-CN" w:eastAsia="zh-CN" w:bidi="ar-SA"/>
        </w:rPr>
      </w:pPr>
      <w:r>
        <w:rPr>
          <w:rFonts w:hint="eastAsia" w:ascii="华文楷体" w:hAnsi="华文楷体" w:eastAsia="华文楷体" w:cs="华文楷体"/>
          <w:color w:val="0000FF"/>
          <w:sz w:val="24"/>
          <w:szCs w:val="24"/>
          <w:highlight w:val="none"/>
          <w:lang w:val="zh-CN" w:eastAsia="zh-CN" w:bidi="ar-SA"/>
        </w:rPr>
        <w:t>DN100排污计量控制终端箱清单</w:t>
      </w:r>
    </w:p>
    <w:tbl>
      <w:tblPr>
        <w:tblStyle w:val="1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96"/>
        <w:gridCol w:w="4539"/>
        <w:gridCol w:w="1096"/>
        <w:gridCol w:w="656"/>
        <w:gridCol w:w="656"/>
        <w:gridCol w:w="6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序号</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名称</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材质</w:t>
            </w:r>
          </w:p>
        </w:tc>
        <w:tc>
          <w:tcPr>
            <w:tcW w:w="4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含税控制单价</w:t>
            </w:r>
          </w:p>
        </w:tc>
        <w:tc>
          <w:tcPr>
            <w:tcW w:w="3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不含税成交单价</w:t>
            </w:r>
          </w:p>
        </w:tc>
        <w:tc>
          <w:tcPr>
            <w:tcW w:w="3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含税成交单价</w:t>
            </w:r>
          </w:p>
        </w:tc>
        <w:tc>
          <w:tcPr>
            <w:tcW w:w="3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1</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DN100电磁流量计</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分体式(详见技术参数)</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10520.95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2</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DN100伸缩节</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材质不锈钢，含304不锈钢法兰</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639.05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3</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DN100电磁阀</w:t>
            </w:r>
          </w:p>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（法兰蝶阀）</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DN100，乙丙胶不锈钢板，法兰对夹式；</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2404.76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4</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网关及交换机</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无线4G，Modbus设备数据采集转云平台，需与水务平台衔接；</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901.90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5</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UPS电源</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断电延时2小时；</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4509.52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6</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不锈钢箱体（控制箱）</w:t>
            </w:r>
          </w:p>
        </w:tc>
        <w:tc>
          <w:tcPr>
            <w:tcW w:w="253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尺寸1000mm*2000mm*高度（按排污企业排口深度制定，地面以上高度为1500mm），需将流量计、电磁阀、伸缩节补偿器安装进箱体内部，并保留维修空间，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none"/>
                <w:lang w:val="en-US" w:eastAsia="zh-CN"/>
              </w:rPr>
              <w:t>（元器件品牌至少为中高档，成交后供货前需与采购人进行确认）</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2630.48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7</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电源箱</w:t>
            </w:r>
          </w:p>
        </w:tc>
        <w:tc>
          <w:tcPr>
            <w:tcW w:w="253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推荐尺寸800mm*1500mm*800mm（长宽高）需将网关、UPS不间断电源安装在箱体内部，并保留维修空间，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none"/>
                <w:lang w:val="en-US" w:eastAsia="zh-CN"/>
              </w:rPr>
              <w:t>（元器件品牌至少为中高档，成交后供货前需与采购人进行确认）</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3156.19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8</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监控（摄像头）</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太阳能双镜头4G版本监控，需将监控界面传至水务平台</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1202.86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9</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系统编程</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含手机物联卡，将流量计瞬时流量/累积流量/阀门启停状态/传输至水务平台，并预留排污企业污染在线监控指标传输端口含（PH、COD、氨氮、总磷、总氮等）</w:t>
            </w:r>
            <w:r>
              <w:rPr>
                <w:rFonts w:hint="eastAsia" w:ascii="宋体" w:hAnsi="宋体" w:eastAsia="宋体" w:cs="宋体"/>
                <w:b/>
                <w:bCs/>
                <w:color w:val="auto"/>
                <w:sz w:val="24"/>
                <w:szCs w:val="24"/>
                <w:highlight w:val="none"/>
                <w:lang w:val="en-US" w:eastAsia="zh-CN"/>
              </w:rPr>
              <w:t>，预留端口传输方式为4G或RS485</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4510.48 </w:t>
            </w:r>
          </w:p>
        </w:tc>
        <w:tc>
          <w:tcPr>
            <w:tcW w:w="3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rPr>
      </w:pPr>
      <w:r>
        <w:rPr>
          <w:rFonts w:hint="eastAsia" w:ascii="宋体" w:hAnsi="宋体"/>
          <w:sz w:val="28"/>
          <w:highlight w:val="none"/>
        </w:rPr>
        <w:t>上述货物的报价（综合单价）包括下列费用：</w:t>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（1）价格包含完成本项目所有费用。结算时，单价不做任何调整，最终按实结算；</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2）包括全部货物的成本、利润、增值税（13%）、运输费、包装费、组装费、调试费用、政策性文件规定及合同包含的所有风险、安全责任等各项应有费用以及完成本项目所需的一切费用。所涉及的所有费用报价时应充分考虑，相关费用包含在报价内，结算时不作任何调整；</w:t>
      </w:r>
      <w:r>
        <w:rPr>
          <w:rFonts w:hint="eastAsia" w:ascii="宋体" w:hAnsi="宋体"/>
          <w:sz w:val="28"/>
          <w:highlight w:val="none"/>
        </w:rPr>
        <w:tab/>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（3）货物落地交付前的运输费、保险费及装卸费（含目的地卸货费用）；</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（4）货物的检验检测、技术服务等费用。</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（5）在得到采购人所通知后供应商才可以加工、发货。</w:t>
      </w:r>
    </w:p>
    <w:p>
      <w:pPr>
        <w:keepNext w:val="0"/>
        <w:keepLines w:val="0"/>
        <w:pageBreakBefore w:val="0"/>
        <w:widowControl w:val="0"/>
        <w:kinsoku/>
        <w:wordWrap/>
        <w:overflowPunct/>
        <w:topLinePunct w:val="0"/>
        <w:autoSpaceDE/>
        <w:autoSpaceDN/>
        <w:bidi w:val="0"/>
        <w:adjustRightInd/>
        <w:snapToGrid/>
        <w:spacing w:line="540" w:lineRule="exact"/>
        <w:ind w:firstLine="3080" w:firstLineChars="1100"/>
        <w:jc w:val="left"/>
        <w:textAlignment w:val="auto"/>
        <w:rPr>
          <w:rFonts w:hint="eastAsia"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sz w:val="28"/>
          <w:highlight w:val="none"/>
        </w:rPr>
      </w:pPr>
      <w:r>
        <w:rPr>
          <w:rFonts w:hint="eastAsia" w:ascii="宋体" w:hAnsi="宋体"/>
          <w:sz w:val="28"/>
          <w:highlight w:val="none"/>
        </w:rPr>
        <w:t>供应商：（单位名称） （盖单位公章）</w:t>
      </w: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sz w:val="28"/>
          <w:highlight w:val="none"/>
        </w:rPr>
      </w:pPr>
      <w:r>
        <w:rPr>
          <w:rFonts w:hint="eastAsia" w:ascii="宋体" w:hAnsi="宋体"/>
          <w:sz w:val="28"/>
          <w:highlight w:val="none"/>
        </w:rPr>
        <w:t>法定代表人（或委托代理人）：（签字）</w:t>
      </w: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b/>
          <w:sz w:val="28"/>
          <w:highlight w:val="none"/>
        </w:rPr>
      </w:pPr>
      <w:r>
        <w:rPr>
          <w:rFonts w:hint="eastAsia" w:ascii="宋体" w:hAnsi="宋体"/>
          <w:sz w:val="28"/>
          <w:highlight w:val="none"/>
        </w:rPr>
        <w:t>日  期：</w:t>
      </w:r>
    </w:p>
    <w:p>
      <w:pPr>
        <w:spacing w:line="540" w:lineRule="exact"/>
        <w:jc w:val="both"/>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r>
        <w:rPr>
          <w:rFonts w:hint="eastAsia" w:ascii="宋体" w:hAnsi="宋体"/>
          <w:b/>
          <w:sz w:val="28"/>
          <w:highlight w:val="none"/>
        </w:rPr>
        <w:t>供应商信用承诺书</w:t>
      </w:r>
    </w:p>
    <w:p>
      <w:pPr>
        <w:spacing w:line="540" w:lineRule="exact"/>
        <w:ind w:firstLine="560" w:firstLineChars="200"/>
        <w:rPr>
          <w:rFonts w:hint="eastAsia" w:ascii="宋体" w:hAnsi="宋体"/>
          <w:sz w:val="28"/>
          <w:highlight w:val="none"/>
        </w:rPr>
      </w:pPr>
      <w:r>
        <w:rPr>
          <w:rFonts w:hint="eastAsia" w:ascii="宋体" w:hAnsi="宋体"/>
          <w:sz w:val="28"/>
          <w:highlight w:val="none"/>
        </w:rPr>
        <w:t>为营造公开、公平、公正的公共资源交易环境，树立诚信守法的响应供应商形象，本人代表本单位作出以下承诺：</w:t>
      </w:r>
    </w:p>
    <w:p>
      <w:pPr>
        <w:spacing w:line="540" w:lineRule="exact"/>
        <w:ind w:firstLine="560" w:firstLineChars="200"/>
        <w:rPr>
          <w:rFonts w:hint="eastAsia" w:ascii="宋体" w:hAnsi="宋体"/>
          <w:sz w:val="28"/>
          <w:highlight w:val="none"/>
        </w:rPr>
      </w:pPr>
      <w:r>
        <w:rPr>
          <w:rFonts w:hint="eastAsia" w:ascii="宋体" w:hAnsi="宋体"/>
          <w:sz w:val="28"/>
          <w:highlight w:val="none"/>
        </w:rPr>
        <w:t>一、本单位对所提交的单位基本信息、单位负责人、项目负责人、技术负责人、从业资质和资格、业绩、财务状况、信誉等所有资料，均合法、真实、准确、有效，无任何伪造、修改、虚假成分；</w:t>
      </w:r>
    </w:p>
    <w:p>
      <w:pPr>
        <w:spacing w:line="540" w:lineRule="exact"/>
        <w:ind w:firstLine="560" w:firstLineChars="200"/>
        <w:rPr>
          <w:rFonts w:hint="eastAsia" w:ascii="宋体" w:hAnsi="宋体"/>
          <w:sz w:val="28"/>
          <w:highlight w:val="none"/>
        </w:rPr>
      </w:pPr>
      <w:r>
        <w:rPr>
          <w:rFonts w:hint="eastAsia" w:ascii="宋体" w:hAnsi="宋体"/>
          <w:sz w:val="28"/>
          <w:highlight w:val="none"/>
        </w:rPr>
        <w:t>二、严格依照国家和省、市、县关于招标投标等方面的法律、法规、规章、规范性文件，参加公共资源交易招标投标活动；积极履行社会责任，促进廉政建设；</w:t>
      </w:r>
    </w:p>
    <w:p>
      <w:pPr>
        <w:spacing w:line="540" w:lineRule="exact"/>
        <w:ind w:firstLine="560" w:firstLineChars="200"/>
        <w:rPr>
          <w:rFonts w:hint="eastAsia" w:ascii="宋体" w:hAnsi="宋体"/>
          <w:sz w:val="28"/>
          <w:highlight w:val="none"/>
        </w:rPr>
      </w:pPr>
      <w:r>
        <w:rPr>
          <w:rFonts w:hint="eastAsia" w:ascii="宋体" w:hAnsi="宋体"/>
          <w:sz w:val="28"/>
          <w:highlight w:val="none"/>
        </w:rPr>
        <w:t>三、严格遵守即时信息公示规定，及时更新公共资源交易中心主体信息库中信息；</w:t>
      </w:r>
    </w:p>
    <w:p>
      <w:pPr>
        <w:spacing w:line="540" w:lineRule="exact"/>
        <w:ind w:firstLine="560" w:firstLineChars="200"/>
        <w:rPr>
          <w:rFonts w:hint="eastAsia" w:ascii="宋体" w:hAnsi="宋体"/>
          <w:sz w:val="28"/>
          <w:highlight w:val="none"/>
        </w:rPr>
      </w:pPr>
      <w:r>
        <w:rPr>
          <w:rFonts w:hint="eastAsia" w:ascii="宋体" w:hAnsi="宋体"/>
          <w:sz w:val="28"/>
          <w:highlight w:val="none"/>
        </w:rPr>
        <w:t>四、自我约束、自我管理，守合同、重信用，不参与围标串标、弄虚作假、骗取中标、干扰评标、违约毁约、恶意投诉等行为，主动维护公共资源交易招标投标的良好秩序；</w:t>
      </w:r>
    </w:p>
    <w:p>
      <w:pPr>
        <w:spacing w:line="540" w:lineRule="exact"/>
        <w:ind w:firstLine="560" w:firstLineChars="200"/>
        <w:rPr>
          <w:rFonts w:hint="eastAsia" w:ascii="宋体" w:hAnsi="宋体"/>
          <w:sz w:val="28"/>
          <w:highlight w:val="none"/>
        </w:rPr>
      </w:pPr>
      <w:r>
        <w:rPr>
          <w:rFonts w:hint="eastAsia" w:ascii="宋体" w:hAnsi="宋体"/>
          <w:sz w:val="28"/>
          <w:highlight w:val="none"/>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pPr>
        <w:spacing w:line="540" w:lineRule="exact"/>
        <w:ind w:firstLine="560" w:firstLineChars="200"/>
        <w:rPr>
          <w:rFonts w:hint="eastAsia" w:ascii="宋体" w:hAnsi="宋体"/>
          <w:sz w:val="28"/>
          <w:highlight w:val="none"/>
        </w:rPr>
      </w:pPr>
      <w:r>
        <w:rPr>
          <w:rFonts w:hint="eastAsia" w:ascii="宋体" w:hAnsi="宋体"/>
          <w:sz w:val="28"/>
          <w:highlight w:val="none"/>
        </w:rPr>
        <w:t>六、自觉接受政府部门、行业组织、社会公众、新闻舆论等监督；</w:t>
      </w:r>
    </w:p>
    <w:p>
      <w:pPr>
        <w:spacing w:line="540" w:lineRule="exact"/>
        <w:ind w:firstLine="560" w:firstLineChars="200"/>
        <w:rPr>
          <w:rFonts w:hint="eastAsia" w:ascii="宋体" w:hAnsi="宋体"/>
          <w:sz w:val="28"/>
          <w:highlight w:val="none"/>
        </w:rPr>
      </w:pPr>
      <w:r>
        <w:rPr>
          <w:rFonts w:hint="eastAsia" w:ascii="宋体" w:hAnsi="宋体"/>
          <w:sz w:val="28"/>
          <w:highlight w:val="none"/>
        </w:rPr>
        <w:t>七、上述承诺已向本单位员工作了宣传教育；</w:t>
      </w:r>
    </w:p>
    <w:p>
      <w:pPr>
        <w:spacing w:line="540" w:lineRule="exact"/>
        <w:ind w:firstLine="560" w:firstLineChars="200"/>
        <w:rPr>
          <w:rFonts w:hint="eastAsia" w:ascii="宋体" w:hAnsi="宋体"/>
          <w:sz w:val="28"/>
          <w:highlight w:val="none"/>
        </w:rPr>
      </w:pPr>
      <w:r>
        <w:rPr>
          <w:rFonts w:hint="eastAsia" w:ascii="宋体" w:hAnsi="宋体"/>
          <w:sz w:val="28"/>
          <w:highlight w:val="none"/>
        </w:rPr>
        <w:t>如有违反上述承诺的不良行为，本单位同意将其予以上网公示。</w:t>
      </w: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ind w:firstLine="560" w:firstLineChars="200"/>
        <w:rPr>
          <w:rFonts w:hint="eastAsia" w:ascii="宋体" w:hAnsi="宋体"/>
          <w:sz w:val="28"/>
          <w:highlight w:val="none"/>
        </w:rPr>
      </w:pPr>
      <w:r>
        <w:rPr>
          <w:rFonts w:hint="eastAsia" w:ascii="宋体" w:hAnsi="宋体"/>
          <w:sz w:val="28"/>
          <w:highlight w:val="none"/>
        </w:rPr>
        <w:t>供应商全称(盖公章)：</w:t>
      </w:r>
    </w:p>
    <w:p>
      <w:pPr>
        <w:spacing w:line="540" w:lineRule="exact"/>
        <w:ind w:firstLine="560" w:firstLineChars="200"/>
        <w:rPr>
          <w:rFonts w:hint="eastAsia" w:ascii="宋体" w:hAnsi="宋体"/>
          <w:sz w:val="28"/>
          <w:highlight w:val="none"/>
        </w:rPr>
      </w:pPr>
      <w:r>
        <w:rPr>
          <w:rFonts w:hint="eastAsia" w:ascii="宋体" w:hAnsi="宋体"/>
          <w:sz w:val="28"/>
          <w:highlight w:val="none"/>
        </w:rPr>
        <w:t>法定代表人（签字或盖章）：</w:t>
      </w:r>
    </w:p>
    <w:p>
      <w:pPr>
        <w:spacing w:line="540" w:lineRule="exact"/>
        <w:ind w:firstLine="560" w:firstLineChars="200"/>
        <w:rPr>
          <w:rFonts w:ascii="宋体" w:hAnsi="宋体"/>
          <w:sz w:val="28"/>
          <w:highlight w:val="none"/>
        </w:rPr>
      </w:pPr>
      <w:r>
        <w:rPr>
          <w:rFonts w:hint="eastAsia" w:ascii="宋体" w:hAnsi="宋体"/>
          <w:sz w:val="28"/>
          <w:highlight w:val="none"/>
        </w:rPr>
        <w:t>时间：  年  月</w:t>
      </w:r>
    </w:p>
    <w:p>
      <w:pPr>
        <w:spacing w:line="540" w:lineRule="exact"/>
        <w:rPr>
          <w:rFonts w:hint="eastAsia" w:ascii="宋体" w:hAnsi="宋体"/>
          <w:sz w:val="28"/>
          <w:highlight w:val="none"/>
        </w:rPr>
      </w:pPr>
    </w:p>
    <w:p>
      <w:pPr>
        <w:spacing w:line="360" w:lineRule="auto"/>
        <w:jc w:val="center"/>
        <w:outlineLvl w:val="1"/>
        <w:rPr>
          <w:rFonts w:ascii="宋体" w:hAnsi="宋体" w:cs="宋体"/>
          <w:b/>
          <w:bCs/>
          <w:color w:val="0D0D0D"/>
          <w:kern w:val="0"/>
          <w:sz w:val="28"/>
          <w:szCs w:val="28"/>
          <w:highlight w:val="none"/>
        </w:rPr>
      </w:pPr>
    </w:p>
    <w:p>
      <w:pPr>
        <w:spacing w:line="360" w:lineRule="auto"/>
        <w:jc w:val="center"/>
        <w:outlineLvl w:val="1"/>
        <w:rPr>
          <w:rFonts w:ascii="宋体" w:hAnsi="宋体" w:cs="宋体"/>
          <w:b/>
          <w:bCs/>
          <w:color w:val="0D0D0D"/>
          <w:kern w:val="0"/>
          <w:sz w:val="28"/>
          <w:szCs w:val="28"/>
          <w:highlight w:val="none"/>
        </w:rPr>
      </w:pPr>
    </w:p>
    <w:p>
      <w:pPr>
        <w:spacing w:line="360" w:lineRule="auto"/>
        <w:jc w:val="center"/>
        <w:outlineLvl w:val="1"/>
        <w:rPr>
          <w:rFonts w:hint="eastAsia" w:ascii="宋体" w:hAnsi="宋体" w:cs="宋体"/>
          <w:b/>
          <w:bCs/>
          <w:color w:val="0D0D0D"/>
          <w:kern w:val="0"/>
          <w:sz w:val="28"/>
          <w:szCs w:val="28"/>
          <w:highlight w:val="none"/>
        </w:rPr>
      </w:pPr>
    </w:p>
    <w:p>
      <w:pPr>
        <w:spacing w:line="360" w:lineRule="auto"/>
        <w:jc w:val="center"/>
        <w:outlineLvl w:val="1"/>
        <w:rPr>
          <w:rFonts w:ascii="宋体" w:hAnsi="宋体" w:cs="宋体"/>
          <w:b/>
          <w:bCs/>
          <w:color w:val="0D0D0D"/>
          <w:kern w:val="0"/>
          <w:sz w:val="28"/>
          <w:szCs w:val="28"/>
          <w:highlight w:val="none"/>
        </w:rPr>
      </w:pPr>
      <w:r>
        <w:rPr>
          <w:rFonts w:hint="eastAsia" w:ascii="宋体" w:hAnsi="宋体" w:cs="宋体"/>
          <w:b/>
          <w:bCs/>
          <w:color w:val="0D0D0D"/>
          <w:kern w:val="0"/>
          <w:sz w:val="28"/>
          <w:szCs w:val="28"/>
          <w:highlight w:val="none"/>
        </w:rPr>
        <w:t>具备履行合同所必需的设备和专业技术能力的证明材料</w:t>
      </w:r>
    </w:p>
    <w:p>
      <w:pPr>
        <w:rPr>
          <w:rFonts w:ascii="宋体" w:hAnsi="宋体"/>
          <w:highlight w:val="none"/>
        </w:rPr>
      </w:pPr>
    </w:p>
    <w:p>
      <w:pPr>
        <w:widowControl/>
        <w:spacing w:line="360" w:lineRule="auto"/>
        <w:jc w:val="left"/>
        <w:rPr>
          <w:rFonts w:ascii="宋体" w:hAnsi="宋体" w:cs="宋体"/>
          <w:color w:val="000000"/>
          <w:sz w:val="23"/>
          <w:szCs w:val="23"/>
          <w:highlight w:val="none"/>
        </w:rPr>
      </w:pPr>
    </w:p>
    <w:p>
      <w:pPr>
        <w:autoSpaceDE w:val="0"/>
        <w:autoSpaceDN w:val="0"/>
        <w:adjustRightInd w:val="0"/>
        <w:spacing w:line="360" w:lineRule="auto"/>
        <w:rPr>
          <w:rFonts w:ascii="宋体" w:hAnsi="宋体"/>
          <w:b/>
          <w:color w:val="000000"/>
          <w:sz w:val="24"/>
          <w:highlight w:val="none"/>
          <w:lang w:val="zh-CN"/>
        </w:rPr>
      </w:pPr>
      <w:r>
        <w:rPr>
          <w:rFonts w:hint="eastAsia" w:ascii="宋体" w:hAnsi="宋体"/>
          <w:color w:val="000000"/>
          <w:sz w:val="24"/>
          <w:highlight w:val="none"/>
        </w:rPr>
        <w:t>海安裕海贸易有限公司</w:t>
      </w:r>
      <w:r>
        <w:rPr>
          <w:rFonts w:hint="eastAsia" w:ascii="宋体" w:hAnsi="宋体"/>
          <w:b/>
          <w:color w:val="000000"/>
          <w:sz w:val="24"/>
          <w:highlight w:val="none"/>
          <w:lang w:val="zh-CN"/>
        </w:rPr>
        <w:t>：</w:t>
      </w:r>
    </w:p>
    <w:p>
      <w:pPr>
        <w:widowControl/>
        <w:spacing w:line="360" w:lineRule="auto"/>
        <w:ind w:firstLine="468" w:firstLineChars="195"/>
        <w:jc w:val="left"/>
        <w:rPr>
          <w:rFonts w:ascii="宋体" w:hAnsi="宋体" w:cs="宋体"/>
          <w:color w:val="000000"/>
          <w:sz w:val="24"/>
          <w:highlight w:val="none"/>
        </w:rPr>
      </w:pPr>
      <w:r>
        <w:rPr>
          <w:rFonts w:hint="eastAsia" w:ascii="宋体" w:hAnsi="宋体" w:cs="宋体"/>
          <w:color w:val="000000"/>
          <w:sz w:val="24"/>
          <w:highlight w:val="none"/>
        </w:rPr>
        <w:t>我方参加你方的</w:t>
      </w:r>
      <w:r>
        <w:rPr>
          <w:rFonts w:hint="eastAsia" w:ascii="宋体" w:hAnsi="宋体" w:cs="宋体"/>
          <w:b/>
          <w:bCs/>
          <w:color w:val="000000"/>
          <w:kern w:val="0"/>
          <w:sz w:val="24"/>
          <w:highlight w:val="none"/>
          <w:u w:val="single"/>
        </w:rPr>
        <w:t xml:space="preserve">                          </w:t>
      </w:r>
      <w:r>
        <w:rPr>
          <w:rFonts w:hint="eastAsia" w:ascii="宋体" w:hAnsi="宋体" w:cs="宋体"/>
          <w:color w:val="000000"/>
          <w:kern w:val="0"/>
          <w:sz w:val="24"/>
          <w:highlight w:val="none"/>
        </w:rPr>
        <w:t>（项目名称）</w:t>
      </w:r>
      <w:r>
        <w:rPr>
          <w:rFonts w:hint="eastAsia" w:ascii="宋体" w:hAnsi="宋体" w:cs="宋体"/>
          <w:color w:val="000000"/>
          <w:sz w:val="24"/>
          <w:highlight w:val="none"/>
        </w:rPr>
        <w:t>的比选，现我方向你方慎重承诺：</w:t>
      </w:r>
    </w:p>
    <w:p>
      <w:pPr>
        <w:widowControl/>
        <w:spacing w:line="360" w:lineRule="auto"/>
        <w:ind w:left="448"/>
        <w:jc w:val="left"/>
        <w:rPr>
          <w:rFonts w:ascii="宋体" w:hAnsi="宋体" w:cs="宋体"/>
          <w:sz w:val="24"/>
          <w:highlight w:val="none"/>
        </w:rPr>
      </w:pPr>
      <w:r>
        <w:rPr>
          <w:rFonts w:hint="eastAsia" w:ascii="宋体" w:hAnsi="宋体" w:cs="宋体"/>
          <w:sz w:val="24"/>
          <w:highlight w:val="none"/>
        </w:rPr>
        <w:t>本单位</w:t>
      </w:r>
      <w:r>
        <w:rPr>
          <w:rFonts w:hint="eastAsia" w:ascii="宋体" w:hAnsi="宋体" w:cs="宋体"/>
          <w:sz w:val="24"/>
          <w:highlight w:val="none"/>
          <w:u w:val="single"/>
        </w:rPr>
        <w:t xml:space="preserve">      </w:t>
      </w:r>
      <w:r>
        <w:rPr>
          <w:rFonts w:hint="eastAsia" w:ascii="宋体" w:hAnsi="宋体" w:cs="宋体"/>
          <w:sz w:val="24"/>
          <w:highlight w:val="none"/>
        </w:rPr>
        <w:t>（具备/不具备）履行合同所必需的设备和专业技术能力。</w:t>
      </w:r>
    </w:p>
    <w:p>
      <w:pPr>
        <w:spacing w:line="360" w:lineRule="auto"/>
        <w:ind w:right="-512" w:rightChars="-244" w:firstLine="3120" w:firstLineChars="1300"/>
        <w:rPr>
          <w:rFonts w:ascii="宋体" w:hAnsi="宋体" w:cs="宋体"/>
          <w:color w:val="000000"/>
          <w:sz w:val="24"/>
          <w:highlight w:val="none"/>
        </w:rPr>
      </w:pPr>
    </w:p>
    <w:p>
      <w:pPr>
        <w:spacing w:line="360" w:lineRule="auto"/>
        <w:ind w:right="-512" w:rightChars="-244" w:firstLine="3840" w:firstLineChars="1600"/>
        <w:rPr>
          <w:rFonts w:ascii="宋体" w:hAnsi="宋体" w:cs="宋体"/>
          <w:color w:val="000000"/>
          <w:sz w:val="24"/>
          <w:highlight w:val="none"/>
        </w:rPr>
      </w:pPr>
      <w:r>
        <w:rPr>
          <w:rFonts w:hint="eastAsia" w:ascii="宋体" w:hAnsi="宋体" w:cs="宋体"/>
          <w:color w:val="000000"/>
          <w:sz w:val="24"/>
          <w:highlight w:val="none"/>
        </w:rPr>
        <w:t>供应商（盖章）：</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w:t>
      </w:r>
    </w:p>
    <w:p>
      <w:pPr>
        <w:tabs>
          <w:tab w:val="left" w:pos="4320"/>
        </w:tabs>
        <w:spacing w:line="360" w:lineRule="auto"/>
        <w:ind w:right="-512" w:rightChars="-244" w:firstLine="3120" w:firstLineChars="1300"/>
        <w:rPr>
          <w:rFonts w:ascii="宋体" w:hAnsi="宋体" w:cs="宋体"/>
          <w:color w:val="000000"/>
          <w:sz w:val="24"/>
          <w:highlight w:val="none"/>
        </w:rPr>
      </w:pPr>
      <w:r>
        <w:rPr>
          <w:rFonts w:ascii="宋体" w:hAnsi="宋体"/>
          <w:color w:val="000000"/>
          <w:sz w:val="24"/>
          <w:highlight w:val="none"/>
        </w:rPr>
        <w:t>法定代表人或其授权</w:t>
      </w:r>
      <w:r>
        <w:rPr>
          <w:rFonts w:hint="eastAsia" w:ascii="宋体" w:hAnsi="宋体"/>
          <w:color w:val="000000"/>
          <w:sz w:val="24"/>
          <w:highlight w:val="none"/>
        </w:rPr>
        <w:t>委托</w:t>
      </w:r>
      <w:r>
        <w:rPr>
          <w:rFonts w:ascii="宋体" w:hAnsi="宋体"/>
          <w:color w:val="000000"/>
          <w:sz w:val="24"/>
          <w:highlight w:val="none"/>
        </w:rPr>
        <w:t>人</w:t>
      </w:r>
      <w:r>
        <w:rPr>
          <w:rFonts w:hint="eastAsia" w:ascii="宋体" w:hAnsi="宋体" w:cs="宋体"/>
          <w:color w:val="000000"/>
          <w:sz w:val="24"/>
          <w:highlight w:val="none"/>
        </w:rPr>
        <w:t>（签字或盖章）：</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w:t>
      </w:r>
    </w:p>
    <w:p>
      <w:pPr>
        <w:spacing w:line="360" w:lineRule="auto"/>
        <w:rPr>
          <w:rFonts w:ascii="宋体" w:hAnsi="宋体" w:cs="宋体"/>
          <w:color w:val="000000"/>
          <w:sz w:val="24"/>
          <w:highlight w:val="none"/>
        </w:rPr>
      </w:pPr>
      <w:r>
        <w:rPr>
          <w:rFonts w:hint="eastAsia" w:ascii="宋体" w:hAnsi="宋体" w:cs="宋体"/>
          <w:color w:val="000000"/>
          <w:sz w:val="24"/>
          <w:highlight w:val="none"/>
        </w:rPr>
        <w:t xml:space="preserve">                                        </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年</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月</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日</w:t>
      </w:r>
    </w:p>
    <w:p>
      <w:pPr>
        <w:rPr>
          <w:rFonts w:ascii="宋体" w:hAnsi="宋体"/>
          <w:highlight w:val="none"/>
        </w:rPr>
      </w:pPr>
    </w:p>
    <w:p>
      <w:pPr>
        <w:rPr>
          <w:rFonts w:ascii="宋体" w:hAnsi="宋体"/>
          <w:highlight w:val="none"/>
        </w:rPr>
      </w:pPr>
    </w:p>
    <w:p>
      <w:pPr>
        <w:rPr>
          <w:rFonts w:ascii="宋体" w:hAnsi="宋体"/>
          <w:highlight w:val="none"/>
        </w:rPr>
      </w:pPr>
    </w:p>
    <w:p>
      <w:pPr>
        <w:rPr>
          <w:rFonts w:hint="eastAsia" w:ascii="宋体" w:hAnsi="宋体" w:cs="宋体"/>
          <w:b/>
          <w:color w:val="0D0D0D"/>
          <w:sz w:val="28"/>
          <w:szCs w:val="28"/>
          <w:highlight w:val="none"/>
        </w:rPr>
      </w:pPr>
    </w:p>
    <w:p>
      <w:pPr>
        <w:pStyle w:val="2"/>
        <w:rPr>
          <w:rFonts w:hint="eastAsia" w:ascii="宋体" w:hAnsi="宋体" w:cs="宋体"/>
          <w:b/>
          <w:color w:val="0D0D0D"/>
          <w:sz w:val="28"/>
          <w:szCs w:val="28"/>
          <w:highlight w:val="none"/>
        </w:rPr>
      </w:pPr>
    </w:p>
    <w:p>
      <w:pPr>
        <w:pStyle w:val="2"/>
        <w:rPr>
          <w:rFonts w:hint="eastAsia" w:ascii="宋体" w:hAnsi="宋体" w:cs="宋体"/>
          <w:b/>
          <w:color w:val="0D0D0D"/>
          <w:sz w:val="28"/>
          <w:szCs w:val="28"/>
          <w:highlight w:val="none"/>
        </w:rPr>
      </w:pPr>
    </w:p>
    <w:p>
      <w:pPr>
        <w:pStyle w:val="2"/>
        <w:rPr>
          <w:rFonts w:hint="eastAsia" w:ascii="宋体" w:hAnsi="宋体" w:cs="宋体"/>
          <w:b/>
          <w:color w:val="0D0D0D"/>
          <w:sz w:val="28"/>
          <w:szCs w:val="28"/>
          <w:highlight w:val="none"/>
        </w:rPr>
      </w:pPr>
    </w:p>
    <w:p>
      <w:pPr>
        <w:pStyle w:val="2"/>
        <w:rPr>
          <w:rFonts w:hint="eastAsia" w:ascii="宋体" w:hAnsi="宋体" w:cs="宋体"/>
          <w:b/>
          <w:color w:val="0D0D0D"/>
          <w:sz w:val="28"/>
          <w:szCs w:val="28"/>
          <w:highlight w:val="none"/>
        </w:rPr>
      </w:pPr>
    </w:p>
    <w:p>
      <w:pPr>
        <w:pStyle w:val="2"/>
        <w:rPr>
          <w:rFonts w:hint="eastAsia" w:ascii="宋体" w:hAnsi="宋体" w:cs="宋体"/>
          <w:b/>
          <w:color w:val="0D0D0D"/>
          <w:sz w:val="28"/>
          <w:szCs w:val="28"/>
          <w:highlight w:val="none"/>
        </w:rPr>
      </w:pPr>
    </w:p>
    <w:p>
      <w:pPr>
        <w:pStyle w:val="2"/>
        <w:rPr>
          <w:rFonts w:hint="eastAsia" w:ascii="宋体" w:hAnsi="宋体" w:cs="宋体"/>
          <w:b/>
          <w:color w:val="0D0D0D"/>
          <w:sz w:val="28"/>
          <w:szCs w:val="28"/>
          <w:highlight w:val="none"/>
        </w:rPr>
      </w:pPr>
    </w:p>
    <w:p>
      <w:pPr>
        <w:pStyle w:val="2"/>
        <w:rPr>
          <w:rFonts w:hint="eastAsia" w:ascii="宋体" w:hAnsi="宋体" w:cs="宋体"/>
          <w:b/>
          <w:color w:val="0D0D0D"/>
          <w:sz w:val="28"/>
          <w:szCs w:val="28"/>
          <w:highlight w:val="none"/>
        </w:rPr>
      </w:pPr>
    </w:p>
    <w:p>
      <w:pPr>
        <w:pStyle w:val="2"/>
        <w:rPr>
          <w:rFonts w:hint="eastAsia" w:ascii="宋体" w:hAnsi="宋体" w:cs="宋体"/>
          <w:b/>
          <w:color w:val="0D0D0D"/>
          <w:sz w:val="28"/>
          <w:szCs w:val="28"/>
          <w:highlight w:val="none"/>
        </w:rPr>
      </w:pPr>
    </w:p>
    <w:p>
      <w:pPr>
        <w:pStyle w:val="2"/>
        <w:rPr>
          <w:rFonts w:hint="eastAsia" w:ascii="宋体" w:hAnsi="宋体" w:cs="宋体"/>
          <w:b/>
          <w:color w:val="0D0D0D"/>
          <w:sz w:val="28"/>
          <w:szCs w:val="28"/>
          <w:highlight w:val="none"/>
        </w:rPr>
      </w:pPr>
    </w:p>
    <w:p>
      <w:pPr>
        <w:pStyle w:val="2"/>
        <w:rPr>
          <w:rFonts w:hint="eastAsia" w:ascii="宋体" w:hAnsi="宋体" w:cs="宋体"/>
          <w:b/>
          <w:color w:val="0D0D0D"/>
          <w:sz w:val="28"/>
          <w:szCs w:val="28"/>
          <w:highlight w:val="none"/>
        </w:rPr>
      </w:pPr>
    </w:p>
    <w:p>
      <w:pPr>
        <w:pStyle w:val="2"/>
        <w:rPr>
          <w:rFonts w:hint="eastAsia" w:ascii="宋体" w:hAnsi="宋体" w:cs="宋体"/>
          <w:b/>
          <w:color w:val="0D0D0D"/>
          <w:sz w:val="28"/>
          <w:szCs w:val="28"/>
          <w:highlight w:val="none"/>
        </w:rPr>
      </w:pPr>
    </w:p>
    <w:p>
      <w:pPr>
        <w:pStyle w:val="2"/>
        <w:rPr>
          <w:rFonts w:hint="eastAsia" w:ascii="宋体" w:hAnsi="宋体" w:cs="宋体"/>
          <w:b/>
          <w:color w:val="0D0D0D"/>
          <w:sz w:val="28"/>
          <w:szCs w:val="28"/>
          <w:highlight w:val="none"/>
        </w:rPr>
      </w:pPr>
    </w:p>
    <w:p>
      <w:pPr>
        <w:pStyle w:val="2"/>
        <w:rPr>
          <w:rFonts w:hint="eastAsia" w:ascii="宋体" w:hAnsi="宋体" w:cs="宋体"/>
          <w:b/>
          <w:color w:val="0D0D0D"/>
          <w:sz w:val="28"/>
          <w:szCs w:val="28"/>
          <w:highlight w:val="none"/>
        </w:rPr>
      </w:pPr>
    </w:p>
    <w:p>
      <w:pPr>
        <w:pStyle w:val="2"/>
        <w:rPr>
          <w:rFonts w:hint="eastAsia" w:ascii="宋体" w:hAnsi="宋体" w:cs="宋体"/>
          <w:b/>
          <w:color w:val="0D0D0D"/>
          <w:sz w:val="28"/>
          <w:szCs w:val="28"/>
          <w:highlight w:val="none"/>
        </w:rPr>
      </w:pPr>
    </w:p>
    <w:p>
      <w:pPr>
        <w:spacing w:line="360" w:lineRule="auto"/>
        <w:outlineLvl w:val="1"/>
        <w:rPr>
          <w:rFonts w:ascii="宋体" w:hAnsi="宋体" w:cs="宋体"/>
          <w:b/>
          <w:bCs/>
          <w:color w:val="0D0D0D"/>
          <w:kern w:val="0"/>
          <w:sz w:val="28"/>
          <w:szCs w:val="28"/>
          <w:highlight w:val="none"/>
        </w:rPr>
      </w:pPr>
    </w:p>
    <w:p>
      <w:pPr>
        <w:spacing w:line="360" w:lineRule="auto"/>
        <w:outlineLvl w:val="1"/>
        <w:rPr>
          <w:rFonts w:ascii="宋体" w:hAnsi="宋体" w:cs="宋体"/>
          <w:b/>
          <w:bCs/>
          <w:color w:val="0D0D0D"/>
          <w:kern w:val="0"/>
          <w:sz w:val="28"/>
          <w:szCs w:val="28"/>
          <w:highlight w:val="none"/>
        </w:rPr>
      </w:pPr>
    </w:p>
    <w:p>
      <w:pPr>
        <w:spacing w:line="360" w:lineRule="auto"/>
        <w:outlineLvl w:val="1"/>
        <w:rPr>
          <w:rFonts w:ascii="宋体" w:hAnsi="宋体" w:cs="宋体"/>
          <w:b/>
          <w:bCs/>
          <w:color w:val="0D0D0D"/>
          <w:kern w:val="0"/>
          <w:sz w:val="28"/>
          <w:szCs w:val="28"/>
          <w:highlight w:val="none"/>
        </w:rPr>
      </w:pPr>
    </w:p>
    <w:p>
      <w:pPr>
        <w:pStyle w:val="2"/>
        <w:rPr>
          <w:rFonts w:hint="eastAsia" w:ascii="宋体" w:hAnsi="宋体" w:cs="宋体"/>
          <w:b/>
          <w:bCs/>
          <w:color w:val="0D0D0D"/>
          <w:sz w:val="28"/>
          <w:szCs w:val="28"/>
          <w:highlight w:val="none"/>
        </w:rPr>
      </w:pPr>
    </w:p>
    <w:p>
      <w:pPr>
        <w:pStyle w:val="2"/>
        <w:rPr>
          <w:rFonts w:ascii="宋体" w:hAnsi="宋体" w:cs="宋体"/>
          <w:b/>
          <w:bCs/>
          <w:color w:val="0D0D0D"/>
          <w:sz w:val="28"/>
          <w:szCs w:val="28"/>
          <w:highlight w:val="none"/>
        </w:rPr>
      </w:pPr>
    </w:p>
    <w:p>
      <w:pPr>
        <w:jc w:val="center"/>
        <w:rPr>
          <w:rFonts w:hint="eastAsia" w:ascii="宋体" w:hAnsi="宋体" w:cs="宋体"/>
          <w:b/>
          <w:color w:val="0D0D0D"/>
          <w:sz w:val="24"/>
          <w:szCs w:val="28"/>
          <w:highlight w:val="none"/>
        </w:rPr>
      </w:pPr>
      <w:r>
        <w:rPr>
          <w:rFonts w:hint="eastAsia" w:ascii="宋体" w:hAnsi="宋体" w:cs="宋体"/>
          <w:b/>
          <w:color w:val="0D0D0D"/>
          <w:sz w:val="24"/>
          <w:szCs w:val="28"/>
          <w:highlight w:val="none"/>
        </w:rPr>
        <w:t>参加政府采购活动前 3 年内在经营活动中没有重大违法记录和失信记录</w:t>
      </w:r>
    </w:p>
    <w:p>
      <w:pPr>
        <w:jc w:val="center"/>
        <w:rPr>
          <w:rFonts w:ascii="宋体" w:hAnsi="宋体"/>
          <w:b/>
          <w:sz w:val="20"/>
          <w:highlight w:val="none"/>
        </w:rPr>
      </w:pPr>
      <w:r>
        <w:rPr>
          <w:rFonts w:hint="eastAsia" w:ascii="宋体" w:hAnsi="宋体" w:cs="宋体"/>
          <w:b/>
          <w:color w:val="0D0D0D"/>
          <w:sz w:val="24"/>
          <w:szCs w:val="28"/>
          <w:highlight w:val="none"/>
        </w:rPr>
        <w:t>的书面声明</w:t>
      </w:r>
    </w:p>
    <w:p>
      <w:pPr>
        <w:rPr>
          <w:rFonts w:ascii="宋体" w:hAnsi="宋体"/>
          <w:highlight w:val="none"/>
        </w:rPr>
      </w:pPr>
    </w:p>
    <w:p>
      <w:pPr>
        <w:widowControl/>
        <w:spacing w:line="360" w:lineRule="auto"/>
        <w:jc w:val="left"/>
        <w:rPr>
          <w:rFonts w:ascii="宋体" w:hAnsi="宋体" w:cs="宋体"/>
          <w:color w:val="000000"/>
          <w:sz w:val="23"/>
          <w:szCs w:val="23"/>
          <w:highlight w:val="none"/>
        </w:rPr>
      </w:pPr>
    </w:p>
    <w:p>
      <w:pPr>
        <w:autoSpaceDE w:val="0"/>
        <w:autoSpaceDN w:val="0"/>
        <w:adjustRightInd w:val="0"/>
        <w:spacing w:line="360" w:lineRule="auto"/>
        <w:rPr>
          <w:rFonts w:ascii="宋体" w:hAnsi="宋体"/>
          <w:color w:val="000000"/>
          <w:sz w:val="24"/>
          <w:highlight w:val="none"/>
        </w:rPr>
      </w:pPr>
      <w:r>
        <w:rPr>
          <w:rFonts w:hint="eastAsia" w:ascii="宋体" w:hAnsi="宋体"/>
          <w:color w:val="000000"/>
          <w:sz w:val="24"/>
          <w:highlight w:val="none"/>
        </w:rPr>
        <w:t>海安裕海贸易有限公司</w:t>
      </w:r>
      <w:r>
        <w:rPr>
          <w:rFonts w:hint="eastAsia" w:ascii="宋体" w:hAnsi="宋体"/>
          <w:b/>
          <w:color w:val="000000"/>
          <w:sz w:val="24"/>
          <w:highlight w:val="none"/>
          <w:lang w:val="zh-CN"/>
        </w:rPr>
        <w:t>：</w:t>
      </w:r>
    </w:p>
    <w:p>
      <w:pPr>
        <w:autoSpaceDE w:val="0"/>
        <w:autoSpaceDN w:val="0"/>
        <w:adjustRightInd w:val="0"/>
        <w:spacing w:line="360" w:lineRule="auto"/>
        <w:ind w:firstLine="450" w:firstLineChars="196"/>
        <w:rPr>
          <w:rFonts w:hint="eastAsia" w:ascii="宋体" w:hAnsi="宋体"/>
          <w:b/>
          <w:color w:val="000000"/>
          <w:sz w:val="24"/>
          <w:highlight w:val="none"/>
          <w:lang w:val="zh-CN"/>
        </w:rPr>
      </w:pPr>
      <w:r>
        <w:rPr>
          <w:rFonts w:hint="eastAsia" w:ascii="宋体" w:hAnsi="宋体" w:cs="宋体"/>
          <w:color w:val="000000"/>
          <w:sz w:val="23"/>
          <w:szCs w:val="23"/>
          <w:highlight w:val="none"/>
        </w:rPr>
        <w:t>我公司郑重声明：参加本次政府采购活动前 3 年内，我公司在经营活动中没有因违法经营受到刑事处罚或者责令停产停业、吊销许可证或者执照、较大数额罚款等行政处罚。</w:t>
      </w:r>
    </w:p>
    <w:p>
      <w:pPr>
        <w:widowControl/>
        <w:spacing w:line="360" w:lineRule="auto"/>
        <w:ind w:firstLine="460" w:firstLineChars="200"/>
        <w:jc w:val="left"/>
        <w:rPr>
          <w:rFonts w:ascii="宋体" w:hAnsi="宋体" w:cs="宋体"/>
          <w:sz w:val="23"/>
          <w:szCs w:val="23"/>
          <w:highlight w:val="none"/>
        </w:rPr>
      </w:pPr>
      <w:r>
        <w:rPr>
          <w:rFonts w:hint="eastAsia" w:ascii="宋体" w:hAnsi="宋体" w:cs="宋体"/>
          <w:color w:val="000000"/>
          <w:sz w:val="23"/>
          <w:szCs w:val="23"/>
          <w:highlight w:val="none"/>
        </w:rPr>
        <w:t>在报价截止时间节点，没有被“信用中国”（www.creditchina.gov.cn）网站列入失信被执行人、重大税收违法案件当事人名单、政府采购严重违法失信行为记录名单。</w:t>
      </w:r>
    </w:p>
    <w:p>
      <w:pPr>
        <w:spacing w:line="360" w:lineRule="auto"/>
        <w:ind w:right="-512" w:rightChars="-244" w:firstLine="2990" w:firstLineChars="1300"/>
        <w:rPr>
          <w:rFonts w:ascii="宋体" w:hAnsi="宋体" w:cs="宋体"/>
          <w:color w:val="000000"/>
          <w:sz w:val="23"/>
          <w:szCs w:val="23"/>
          <w:highlight w:val="none"/>
        </w:rPr>
      </w:pPr>
    </w:p>
    <w:p>
      <w:pPr>
        <w:spacing w:line="360" w:lineRule="auto"/>
        <w:ind w:right="-512" w:rightChars="-244" w:firstLine="2990" w:firstLineChars="1300"/>
        <w:rPr>
          <w:rFonts w:ascii="宋体" w:hAnsi="宋体" w:cs="宋体"/>
          <w:color w:val="000000"/>
          <w:sz w:val="23"/>
          <w:szCs w:val="23"/>
          <w:highlight w:val="none"/>
        </w:rPr>
      </w:pPr>
    </w:p>
    <w:p>
      <w:pPr>
        <w:spacing w:line="360" w:lineRule="auto"/>
        <w:ind w:right="-512" w:rightChars="-244" w:firstLine="2990" w:firstLineChars="1300"/>
        <w:rPr>
          <w:rFonts w:hint="eastAsia" w:ascii="宋体" w:hAnsi="宋体" w:cs="宋体"/>
          <w:color w:val="000000"/>
          <w:sz w:val="23"/>
          <w:szCs w:val="23"/>
          <w:highlight w:val="none"/>
        </w:rPr>
      </w:pPr>
    </w:p>
    <w:p>
      <w:pPr>
        <w:spacing w:line="360" w:lineRule="auto"/>
        <w:ind w:right="-512" w:rightChars="-244" w:firstLine="2990" w:firstLineChars="1300"/>
        <w:rPr>
          <w:rFonts w:ascii="宋体" w:hAnsi="宋体" w:cs="宋体"/>
          <w:color w:val="000000"/>
          <w:sz w:val="23"/>
          <w:szCs w:val="23"/>
          <w:highlight w:val="none"/>
        </w:rPr>
      </w:pPr>
      <w:r>
        <w:rPr>
          <w:rFonts w:hint="eastAsia" w:ascii="宋体" w:hAnsi="宋体" w:cs="宋体"/>
          <w:color w:val="000000"/>
          <w:sz w:val="23"/>
          <w:szCs w:val="23"/>
          <w:highlight w:val="none"/>
        </w:rPr>
        <w:t>供应商（盖章）：</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 xml:space="preserve"> </w:t>
      </w:r>
    </w:p>
    <w:p>
      <w:pPr>
        <w:tabs>
          <w:tab w:val="left" w:pos="4320"/>
        </w:tabs>
        <w:spacing w:line="360" w:lineRule="auto"/>
        <w:ind w:right="-512" w:rightChars="-244" w:firstLine="2880" w:firstLineChars="1200"/>
        <w:rPr>
          <w:rFonts w:ascii="宋体" w:hAnsi="宋体" w:cs="宋体"/>
          <w:color w:val="000000"/>
          <w:sz w:val="23"/>
          <w:szCs w:val="23"/>
          <w:highlight w:val="none"/>
        </w:rPr>
      </w:pPr>
      <w:r>
        <w:rPr>
          <w:rFonts w:ascii="宋体" w:hAnsi="宋体"/>
          <w:color w:val="000000"/>
          <w:sz w:val="24"/>
          <w:highlight w:val="none"/>
        </w:rPr>
        <w:t>法定代表人或其授权</w:t>
      </w:r>
      <w:r>
        <w:rPr>
          <w:rFonts w:hint="eastAsia" w:ascii="宋体" w:hAnsi="宋体"/>
          <w:color w:val="000000"/>
          <w:sz w:val="24"/>
          <w:highlight w:val="none"/>
        </w:rPr>
        <w:t>委托</w:t>
      </w:r>
      <w:r>
        <w:rPr>
          <w:rFonts w:ascii="宋体" w:hAnsi="宋体"/>
          <w:color w:val="000000"/>
          <w:sz w:val="24"/>
          <w:highlight w:val="none"/>
        </w:rPr>
        <w:t>人</w:t>
      </w:r>
      <w:r>
        <w:rPr>
          <w:rFonts w:hint="eastAsia" w:ascii="宋体" w:hAnsi="宋体" w:cs="宋体"/>
          <w:color w:val="000000"/>
          <w:sz w:val="23"/>
          <w:szCs w:val="23"/>
          <w:highlight w:val="none"/>
        </w:rPr>
        <w:t>（签字或盖章）：</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 xml:space="preserve"> </w:t>
      </w:r>
    </w:p>
    <w:p>
      <w:pPr>
        <w:tabs>
          <w:tab w:val="left" w:pos="3375"/>
        </w:tabs>
        <w:autoSpaceDE w:val="0"/>
        <w:autoSpaceDN w:val="0"/>
        <w:adjustRightInd w:val="0"/>
        <w:snapToGrid w:val="0"/>
        <w:spacing w:line="300" w:lineRule="auto"/>
        <w:ind w:left="1" w:firstLine="538"/>
        <w:rPr>
          <w:rFonts w:ascii="宋体" w:hAnsi="宋体" w:cs="宋体"/>
          <w:color w:val="000000"/>
          <w:sz w:val="23"/>
          <w:szCs w:val="23"/>
          <w:highlight w:val="none"/>
        </w:rPr>
      </w:pPr>
      <w:r>
        <w:rPr>
          <w:rFonts w:hint="eastAsia" w:ascii="宋体" w:hAnsi="宋体" w:cs="宋体"/>
          <w:color w:val="000000"/>
          <w:sz w:val="23"/>
          <w:szCs w:val="23"/>
          <w:highlight w:val="none"/>
        </w:rPr>
        <w:t xml:space="preserve">                                        </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年</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月</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日</w:t>
      </w:r>
    </w:p>
    <w:p>
      <w:pPr>
        <w:tabs>
          <w:tab w:val="left" w:pos="3375"/>
        </w:tabs>
        <w:autoSpaceDE w:val="0"/>
        <w:autoSpaceDN w:val="0"/>
        <w:adjustRightInd w:val="0"/>
        <w:snapToGrid w:val="0"/>
        <w:spacing w:line="300" w:lineRule="auto"/>
        <w:ind w:left="1" w:firstLine="538"/>
        <w:rPr>
          <w:rFonts w:hint="eastAsia" w:ascii="宋体" w:hAnsi="宋体"/>
          <w:b/>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hint="eastAsia"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480" w:lineRule="exact"/>
        <w:jc w:val="center"/>
        <w:rPr>
          <w:rFonts w:ascii="宋体" w:hAnsi="宋体"/>
          <w:bCs/>
          <w:sz w:val="36"/>
          <w:highlight w:val="none"/>
        </w:rPr>
      </w:pPr>
      <w:r>
        <w:rPr>
          <w:rFonts w:hint="eastAsia" w:ascii="宋体" w:hAnsi="宋体"/>
          <w:bCs/>
          <w:sz w:val="36"/>
          <w:highlight w:val="none"/>
        </w:rPr>
        <w:t>质量承诺书</w:t>
      </w:r>
    </w:p>
    <w:p>
      <w:pPr>
        <w:spacing w:line="480" w:lineRule="exact"/>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海安裕海贸易有限公司：</w:t>
      </w:r>
    </w:p>
    <w:p>
      <w:pPr>
        <w:spacing w:line="480" w:lineRule="exact"/>
        <w:ind w:firstLine="560" w:firstLineChars="200"/>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我方参加你方的</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（项目名称）的报价，现我方向你方慎重承诺：</w:t>
      </w:r>
    </w:p>
    <w:p>
      <w:pPr>
        <w:spacing w:line="480" w:lineRule="exact"/>
        <w:ind w:firstLine="560" w:firstLineChars="200"/>
        <w:outlineLvl w:val="0"/>
        <w:rPr>
          <w:rFonts w:hint="eastAsia" w:ascii="仿宋" w:hAnsi="仿宋" w:eastAsia="仿宋" w:cs="仿宋"/>
          <w:bCs/>
          <w:sz w:val="28"/>
          <w:szCs w:val="28"/>
          <w:highlight w:val="none"/>
          <w:lang w:val="zh-CN"/>
        </w:rPr>
      </w:pPr>
      <w:r>
        <w:rPr>
          <w:rFonts w:hint="eastAsia" w:ascii="仿宋" w:hAnsi="仿宋" w:eastAsia="仿宋" w:cs="仿宋"/>
          <w:bCs/>
          <w:sz w:val="28"/>
          <w:szCs w:val="28"/>
          <w:highlight w:val="none"/>
        </w:rPr>
        <w:t>1、</w:t>
      </w:r>
      <w:r>
        <w:rPr>
          <w:rFonts w:hint="eastAsia" w:ascii="仿宋" w:hAnsi="仿宋" w:eastAsia="仿宋" w:cs="仿宋"/>
          <w:bCs/>
          <w:sz w:val="28"/>
          <w:szCs w:val="28"/>
          <w:highlight w:val="none"/>
          <w:lang w:val="zh-CN"/>
        </w:rPr>
        <w:t>本单位在获得供货资格后但未获得贵单位综合认可，本单位主动放弃</w:t>
      </w:r>
      <w:r>
        <w:rPr>
          <w:rFonts w:hint="eastAsia" w:ascii="仿宋" w:hAnsi="仿宋" w:eastAsia="仿宋" w:cs="仿宋"/>
          <w:bCs/>
          <w:sz w:val="28"/>
          <w:szCs w:val="28"/>
          <w:highlight w:val="none"/>
          <w:lang w:val="en-US" w:eastAsia="zh-CN"/>
        </w:rPr>
        <w:t>成交</w:t>
      </w:r>
      <w:r>
        <w:rPr>
          <w:rFonts w:hint="eastAsia" w:ascii="仿宋" w:hAnsi="仿宋" w:eastAsia="仿宋" w:cs="仿宋"/>
          <w:bCs/>
          <w:sz w:val="28"/>
          <w:szCs w:val="28"/>
          <w:highlight w:val="none"/>
          <w:lang w:val="zh-CN"/>
        </w:rPr>
        <w:t>资格；</w:t>
      </w:r>
    </w:p>
    <w:p>
      <w:pPr>
        <w:spacing w:line="480" w:lineRule="exact"/>
        <w:ind w:firstLine="560" w:firstLineChars="200"/>
        <w:outlineLvl w:val="0"/>
        <w:rPr>
          <w:rFonts w:hint="eastAsia" w:ascii="仿宋" w:hAnsi="仿宋" w:eastAsia="仿宋" w:cs="仿宋"/>
          <w:bCs/>
          <w:sz w:val="28"/>
          <w:szCs w:val="28"/>
          <w:highlight w:val="none"/>
          <w:lang w:val="zh-CN"/>
        </w:rPr>
      </w:pPr>
      <w:r>
        <w:rPr>
          <w:rFonts w:hint="eastAsia" w:ascii="仿宋" w:hAnsi="仿宋" w:eastAsia="仿宋" w:cs="仿宋"/>
          <w:bCs/>
          <w:sz w:val="28"/>
          <w:szCs w:val="28"/>
          <w:highlight w:val="none"/>
        </w:rPr>
        <w:t>2、</w:t>
      </w:r>
      <w:r>
        <w:rPr>
          <w:rFonts w:hint="eastAsia" w:ascii="仿宋" w:hAnsi="仿宋" w:eastAsia="仿宋" w:cs="仿宋"/>
          <w:bCs/>
          <w:sz w:val="28"/>
          <w:szCs w:val="28"/>
          <w:highlight w:val="none"/>
          <w:lang w:val="zh-CN"/>
        </w:rPr>
        <w:t>本单位报价时所提供报价文件中的资料（包括但不限于资格证明文件）如涉嫌造假，贵单位即取消我单位供货资格并终止合同，引发的一切后果由我单位自行承担。</w:t>
      </w:r>
    </w:p>
    <w:p>
      <w:pPr>
        <w:spacing w:line="480" w:lineRule="exact"/>
        <w:ind w:firstLine="560" w:firstLineChars="200"/>
        <w:outlineLvl w:val="0"/>
        <w:rPr>
          <w:rFonts w:hint="eastAsia" w:ascii="宋体" w:hAnsi="宋体"/>
          <w:bCs/>
          <w:sz w:val="28"/>
          <w:szCs w:val="28"/>
          <w:highlight w:val="none"/>
        </w:rPr>
      </w:pPr>
      <w:r>
        <w:rPr>
          <w:rFonts w:hint="eastAsia" w:ascii="仿宋" w:hAnsi="仿宋" w:eastAsia="仿宋" w:cs="仿宋"/>
          <w:bCs/>
          <w:sz w:val="28"/>
          <w:szCs w:val="28"/>
          <w:highlight w:val="none"/>
        </w:rPr>
        <w:t>3、</w:t>
      </w:r>
      <w:r>
        <w:rPr>
          <w:rFonts w:hint="eastAsia" w:ascii="仿宋" w:hAnsi="仿宋" w:eastAsia="仿宋" w:cs="仿宋"/>
          <w:bCs/>
          <w:sz w:val="28"/>
          <w:szCs w:val="28"/>
          <w:highlight w:val="none"/>
          <w:lang w:val="zh-CN"/>
        </w:rPr>
        <w:t>本单位在成交后提供的货物与</w:t>
      </w:r>
      <w:r>
        <w:rPr>
          <w:rFonts w:hint="eastAsia" w:ascii="仿宋" w:hAnsi="仿宋" w:eastAsia="仿宋" w:cs="仿宋"/>
          <w:bCs/>
          <w:sz w:val="28"/>
          <w:szCs w:val="28"/>
          <w:highlight w:val="none"/>
          <w:lang w:val="en-US" w:eastAsia="zh-CN"/>
        </w:rPr>
        <w:t>样品或</w:t>
      </w:r>
      <w:r>
        <w:rPr>
          <w:rFonts w:hint="eastAsia" w:ascii="仿宋" w:hAnsi="仿宋" w:eastAsia="仿宋" w:cs="仿宋"/>
          <w:bCs/>
          <w:sz w:val="28"/>
          <w:szCs w:val="28"/>
          <w:highlight w:val="none"/>
          <w:lang w:val="zh-CN"/>
        </w:rPr>
        <w:t>采购文件要求不一致时，贵单位即取消我单位供货资格并终止合同，引发的一切后果由我单位自行承担。</w:t>
      </w:r>
    </w:p>
    <w:p>
      <w:pPr>
        <w:spacing w:after="120" w:line="480" w:lineRule="exact"/>
        <w:ind w:left="420" w:leftChars="200"/>
        <w:rPr>
          <w:rFonts w:hint="eastAsia" w:ascii="宋体" w:hAnsi="宋体"/>
          <w:bCs/>
          <w:sz w:val="28"/>
          <w:szCs w:val="28"/>
          <w:highlight w:val="none"/>
        </w:rPr>
      </w:pP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供应商（盖章）：           </w:t>
      </w: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法定代表人</w:t>
      </w: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或其授权委托人（签字或盖章）：   </w:t>
      </w:r>
    </w:p>
    <w:p>
      <w:pPr>
        <w:spacing w:line="480" w:lineRule="exact"/>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                                  年     月     日</w:t>
      </w:r>
    </w:p>
    <w:p>
      <w:pPr>
        <w:spacing w:line="540" w:lineRule="exact"/>
        <w:rPr>
          <w:rFonts w:hint="eastAsia" w:ascii="宋体" w:hAnsi="宋体"/>
          <w:sz w:val="28"/>
          <w:highlight w:val="none"/>
        </w:rPr>
      </w:pPr>
    </w:p>
    <w:sectPr>
      <w:pgSz w:w="11906" w:h="16838"/>
      <w:pgMar w:top="1134" w:right="1531" w:bottom="113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EF0FA"/>
    <w:multiLevelType w:val="singleLevel"/>
    <w:tmpl w:val="24FEF0FA"/>
    <w:lvl w:ilvl="0" w:tentative="0">
      <w:start w:val="3"/>
      <w:numFmt w:val="decimal"/>
      <w:suff w:val="nothing"/>
      <w:lvlText w:val="%1、"/>
      <w:lvlJc w:val="left"/>
    </w:lvl>
  </w:abstractNum>
  <w:abstractNum w:abstractNumId="1">
    <w:nsid w:val="79AE8E74"/>
    <w:multiLevelType w:val="multilevel"/>
    <w:tmpl w:val="79AE8E74"/>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pStyle w:val="6"/>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
    <w:nsid w:val="7A9C2B56"/>
    <w:multiLevelType w:val="singleLevel"/>
    <w:tmpl w:val="7A9C2B56"/>
    <w:lvl w:ilvl="0" w:tentative="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NjlkNjRjZDVlMTNjYjgxNWE0NzgzNDYzZjlkYzgifQ=="/>
  </w:docVars>
  <w:rsids>
    <w:rsidRoot w:val="003F3353"/>
    <w:rsid w:val="00015B06"/>
    <w:rsid w:val="00020AA9"/>
    <w:rsid w:val="00033123"/>
    <w:rsid w:val="000461D5"/>
    <w:rsid w:val="000527A2"/>
    <w:rsid w:val="00055FFB"/>
    <w:rsid w:val="000570F6"/>
    <w:rsid w:val="00057B91"/>
    <w:rsid w:val="00082CA7"/>
    <w:rsid w:val="00085FAC"/>
    <w:rsid w:val="00090559"/>
    <w:rsid w:val="0009067F"/>
    <w:rsid w:val="00090F50"/>
    <w:rsid w:val="000A0045"/>
    <w:rsid w:val="000A3DE9"/>
    <w:rsid w:val="000B05D2"/>
    <w:rsid w:val="000B1A68"/>
    <w:rsid w:val="000B1D22"/>
    <w:rsid w:val="000B7D96"/>
    <w:rsid w:val="000C0234"/>
    <w:rsid w:val="000C25E4"/>
    <w:rsid w:val="000D02AC"/>
    <w:rsid w:val="000E1584"/>
    <w:rsid w:val="000E44D8"/>
    <w:rsid w:val="000E6740"/>
    <w:rsid w:val="000E7B50"/>
    <w:rsid w:val="00102187"/>
    <w:rsid w:val="001065E3"/>
    <w:rsid w:val="001113CA"/>
    <w:rsid w:val="00125775"/>
    <w:rsid w:val="00126FA4"/>
    <w:rsid w:val="00133CC9"/>
    <w:rsid w:val="00140772"/>
    <w:rsid w:val="00146A4E"/>
    <w:rsid w:val="00167E50"/>
    <w:rsid w:val="0017303C"/>
    <w:rsid w:val="00182B57"/>
    <w:rsid w:val="00183470"/>
    <w:rsid w:val="00191671"/>
    <w:rsid w:val="00195725"/>
    <w:rsid w:val="001A6A78"/>
    <w:rsid w:val="001B49D8"/>
    <w:rsid w:val="001C1FD1"/>
    <w:rsid w:val="001C3D13"/>
    <w:rsid w:val="001D02BC"/>
    <w:rsid w:val="002133DC"/>
    <w:rsid w:val="00213EEA"/>
    <w:rsid w:val="002234A1"/>
    <w:rsid w:val="00236D09"/>
    <w:rsid w:val="00237D99"/>
    <w:rsid w:val="002644DD"/>
    <w:rsid w:val="002742B8"/>
    <w:rsid w:val="00290911"/>
    <w:rsid w:val="00295A16"/>
    <w:rsid w:val="002B171E"/>
    <w:rsid w:val="002B1AFC"/>
    <w:rsid w:val="002D0B3C"/>
    <w:rsid w:val="002E34B5"/>
    <w:rsid w:val="002F02C0"/>
    <w:rsid w:val="00303260"/>
    <w:rsid w:val="00311DFD"/>
    <w:rsid w:val="00316876"/>
    <w:rsid w:val="00317A87"/>
    <w:rsid w:val="00322E1B"/>
    <w:rsid w:val="00334D30"/>
    <w:rsid w:val="00345E09"/>
    <w:rsid w:val="00347188"/>
    <w:rsid w:val="00367558"/>
    <w:rsid w:val="00372179"/>
    <w:rsid w:val="00375ADD"/>
    <w:rsid w:val="0037715C"/>
    <w:rsid w:val="0038035C"/>
    <w:rsid w:val="00380FF8"/>
    <w:rsid w:val="00384BF6"/>
    <w:rsid w:val="00396CE8"/>
    <w:rsid w:val="003A0AC6"/>
    <w:rsid w:val="003A375D"/>
    <w:rsid w:val="003A4C65"/>
    <w:rsid w:val="003A602E"/>
    <w:rsid w:val="003A6BC1"/>
    <w:rsid w:val="003B12BB"/>
    <w:rsid w:val="003B43A6"/>
    <w:rsid w:val="003B4613"/>
    <w:rsid w:val="003B62EB"/>
    <w:rsid w:val="003D1106"/>
    <w:rsid w:val="003F2152"/>
    <w:rsid w:val="003F3353"/>
    <w:rsid w:val="003F3888"/>
    <w:rsid w:val="003F3D51"/>
    <w:rsid w:val="003F5ACD"/>
    <w:rsid w:val="00402EA1"/>
    <w:rsid w:val="00404082"/>
    <w:rsid w:val="00412133"/>
    <w:rsid w:val="00413134"/>
    <w:rsid w:val="00413FA6"/>
    <w:rsid w:val="004141D9"/>
    <w:rsid w:val="00414AC9"/>
    <w:rsid w:val="00420649"/>
    <w:rsid w:val="00420A6B"/>
    <w:rsid w:val="00421D04"/>
    <w:rsid w:val="004224DF"/>
    <w:rsid w:val="00424F0D"/>
    <w:rsid w:val="004271D6"/>
    <w:rsid w:val="00437A1B"/>
    <w:rsid w:val="00441D79"/>
    <w:rsid w:val="00444BDC"/>
    <w:rsid w:val="00477CA3"/>
    <w:rsid w:val="00481594"/>
    <w:rsid w:val="00482D2C"/>
    <w:rsid w:val="004A2AA5"/>
    <w:rsid w:val="004B4A24"/>
    <w:rsid w:val="004B6736"/>
    <w:rsid w:val="004B6C9D"/>
    <w:rsid w:val="004C2843"/>
    <w:rsid w:val="004C45A5"/>
    <w:rsid w:val="004D064E"/>
    <w:rsid w:val="004D61EA"/>
    <w:rsid w:val="004E303D"/>
    <w:rsid w:val="004E448A"/>
    <w:rsid w:val="004F115C"/>
    <w:rsid w:val="004F31C9"/>
    <w:rsid w:val="004F54D3"/>
    <w:rsid w:val="00502E5B"/>
    <w:rsid w:val="00512A67"/>
    <w:rsid w:val="00517A61"/>
    <w:rsid w:val="00530A82"/>
    <w:rsid w:val="00533E44"/>
    <w:rsid w:val="0053448F"/>
    <w:rsid w:val="00537E0E"/>
    <w:rsid w:val="00541649"/>
    <w:rsid w:val="00546470"/>
    <w:rsid w:val="0055466D"/>
    <w:rsid w:val="0055524A"/>
    <w:rsid w:val="00562051"/>
    <w:rsid w:val="00571C98"/>
    <w:rsid w:val="00590377"/>
    <w:rsid w:val="00595F04"/>
    <w:rsid w:val="00597E7A"/>
    <w:rsid w:val="005B67FD"/>
    <w:rsid w:val="005C714B"/>
    <w:rsid w:val="005E029B"/>
    <w:rsid w:val="005E72D8"/>
    <w:rsid w:val="005E7E22"/>
    <w:rsid w:val="005F73CB"/>
    <w:rsid w:val="005F79D9"/>
    <w:rsid w:val="00601588"/>
    <w:rsid w:val="006105C9"/>
    <w:rsid w:val="00610A8E"/>
    <w:rsid w:val="00610B11"/>
    <w:rsid w:val="00621AB9"/>
    <w:rsid w:val="00626D3C"/>
    <w:rsid w:val="006339E9"/>
    <w:rsid w:val="006450A9"/>
    <w:rsid w:val="00645A41"/>
    <w:rsid w:val="00650AD9"/>
    <w:rsid w:val="00651660"/>
    <w:rsid w:val="00653786"/>
    <w:rsid w:val="0066482D"/>
    <w:rsid w:val="00677E6B"/>
    <w:rsid w:val="00686F4E"/>
    <w:rsid w:val="00687C9B"/>
    <w:rsid w:val="0069115E"/>
    <w:rsid w:val="00691B0B"/>
    <w:rsid w:val="006A07FF"/>
    <w:rsid w:val="006A0A90"/>
    <w:rsid w:val="006B0B74"/>
    <w:rsid w:val="006B1E10"/>
    <w:rsid w:val="006B7CE1"/>
    <w:rsid w:val="006C38A7"/>
    <w:rsid w:val="006C6B11"/>
    <w:rsid w:val="006D11E1"/>
    <w:rsid w:val="006D25BC"/>
    <w:rsid w:val="006D367A"/>
    <w:rsid w:val="006D784D"/>
    <w:rsid w:val="006E15EB"/>
    <w:rsid w:val="006E43C6"/>
    <w:rsid w:val="006E63BC"/>
    <w:rsid w:val="006E77D9"/>
    <w:rsid w:val="006F6669"/>
    <w:rsid w:val="006F66B2"/>
    <w:rsid w:val="00700397"/>
    <w:rsid w:val="00703880"/>
    <w:rsid w:val="00716E2C"/>
    <w:rsid w:val="00723133"/>
    <w:rsid w:val="00730731"/>
    <w:rsid w:val="00736955"/>
    <w:rsid w:val="007433B5"/>
    <w:rsid w:val="00766957"/>
    <w:rsid w:val="00776247"/>
    <w:rsid w:val="007822FC"/>
    <w:rsid w:val="00782473"/>
    <w:rsid w:val="00783555"/>
    <w:rsid w:val="00785810"/>
    <w:rsid w:val="00786CC4"/>
    <w:rsid w:val="00792A68"/>
    <w:rsid w:val="007A0ABC"/>
    <w:rsid w:val="007A4233"/>
    <w:rsid w:val="007A6061"/>
    <w:rsid w:val="007B4997"/>
    <w:rsid w:val="007E437B"/>
    <w:rsid w:val="007F2AE2"/>
    <w:rsid w:val="007F37EE"/>
    <w:rsid w:val="007F70D3"/>
    <w:rsid w:val="008012EC"/>
    <w:rsid w:val="008027BB"/>
    <w:rsid w:val="008043F4"/>
    <w:rsid w:val="00805371"/>
    <w:rsid w:val="00806E8C"/>
    <w:rsid w:val="00821EF5"/>
    <w:rsid w:val="00826975"/>
    <w:rsid w:val="00830F1E"/>
    <w:rsid w:val="008328CE"/>
    <w:rsid w:val="00833C0F"/>
    <w:rsid w:val="00833C2C"/>
    <w:rsid w:val="00835E14"/>
    <w:rsid w:val="00840E37"/>
    <w:rsid w:val="0085242F"/>
    <w:rsid w:val="0085274A"/>
    <w:rsid w:val="00853ED6"/>
    <w:rsid w:val="00857D87"/>
    <w:rsid w:val="00860D2D"/>
    <w:rsid w:val="00873430"/>
    <w:rsid w:val="00881949"/>
    <w:rsid w:val="00884C89"/>
    <w:rsid w:val="00895D3C"/>
    <w:rsid w:val="00896F23"/>
    <w:rsid w:val="008A6C7A"/>
    <w:rsid w:val="008A7601"/>
    <w:rsid w:val="008B1487"/>
    <w:rsid w:val="008C0F39"/>
    <w:rsid w:val="008C2425"/>
    <w:rsid w:val="008C6F4E"/>
    <w:rsid w:val="008E7318"/>
    <w:rsid w:val="008F7509"/>
    <w:rsid w:val="00910032"/>
    <w:rsid w:val="00914616"/>
    <w:rsid w:val="00934E2D"/>
    <w:rsid w:val="009464C7"/>
    <w:rsid w:val="0095647F"/>
    <w:rsid w:val="00961BCF"/>
    <w:rsid w:val="0097435D"/>
    <w:rsid w:val="00977AEE"/>
    <w:rsid w:val="00977F82"/>
    <w:rsid w:val="009854E7"/>
    <w:rsid w:val="00991C21"/>
    <w:rsid w:val="00993A0D"/>
    <w:rsid w:val="009978AB"/>
    <w:rsid w:val="009A0D7B"/>
    <w:rsid w:val="009A6067"/>
    <w:rsid w:val="009B0059"/>
    <w:rsid w:val="009B2A37"/>
    <w:rsid w:val="009B38C1"/>
    <w:rsid w:val="009B3E7B"/>
    <w:rsid w:val="009B7286"/>
    <w:rsid w:val="009C50C6"/>
    <w:rsid w:val="009E0434"/>
    <w:rsid w:val="009E10BF"/>
    <w:rsid w:val="009E1F87"/>
    <w:rsid w:val="009E6E97"/>
    <w:rsid w:val="00A03354"/>
    <w:rsid w:val="00A054F4"/>
    <w:rsid w:val="00A07A15"/>
    <w:rsid w:val="00A16F4C"/>
    <w:rsid w:val="00A34E39"/>
    <w:rsid w:val="00A41BA7"/>
    <w:rsid w:val="00A44420"/>
    <w:rsid w:val="00A50BB5"/>
    <w:rsid w:val="00A52729"/>
    <w:rsid w:val="00A54269"/>
    <w:rsid w:val="00A56381"/>
    <w:rsid w:val="00A6215B"/>
    <w:rsid w:val="00A75FCE"/>
    <w:rsid w:val="00A85F29"/>
    <w:rsid w:val="00A91F35"/>
    <w:rsid w:val="00AA2562"/>
    <w:rsid w:val="00AA76E4"/>
    <w:rsid w:val="00AB1D8C"/>
    <w:rsid w:val="00AC0973"/>
    <w:rsid w:val="00AC2DA4"/>
    <w:rsid w:val="00AC6680"/>
    <w:rsid w:val="00AD6213"/>
    <w:rsid w:val="00AD70E5"/>
    <w:rsid w:val="00AE7D23"/>
    <w:rsid w:val="00AF0936"/>
    <w:rsid w:val="00B02D73"/>
    <w:rsid w:val="00B03034"/>
    <w:rsid w:val="00B06C45"/>
    <w:rsid w:val="00B15FFC"/>
    <w:rsid w:val="00B17088"/>
    <w:rsid w:val="00B20CEB"/>
    <w:rsid w:val="00B64987"/>
    <w:rsid w:val="00B675FC"/>
    <w:rsid w:val="00B71FC8"/>
    <w:rsid w:val="00B825FD"/>
    <w:rsid w:val="00B847A4"/>
    <w:rsid w:val="00B91122"/>
    <w:rsid w:val="00B931AA"/>
    <w:rsid w:val="00BA2C3C"/>
    <w:rsid w:val="00BA3CD4"/>
    <w:rsid w:val="00BB2C61"/>
    <w:rsid w:val="00BC0FF7"/>
    <w:rsid w:val="00BC43FE"/>
    <w:rsid w:val="00BC604D"/>
    <w:rsid w:val="00BC7D34"/>
    <w:rsid w:val="00BE1BC7"/>
    <w:rsid w:val="00BE2280"/>
    <w:rsid w:val="00BE2CB9"/>
    <w:rsid w:val="00BE7A54"/>
    <w:rsid w:val="00BF4618"/>
    <w:rsid w:val="00C02240"/>
    <w:rsid w:val="00C03553"/>
    <w:rsid w:val="00C21FAA"/>
    <w:rsid w:val="00C2438A"/>
    <w:rsid w:val="00C37552"/>
    <w:rsid w:val="00C52A96"/>
    <w:rsid w:val="00C676C7"/>
    <w:rsid w:val="00C67A7F"/>
    <w:rsid w:val="00C84F19"/>
    <w:rsid w:val="00C971C9"/>
    <w:rsid w:val="00C97BF6"/>
    <w:rsid w:val="00CA29CE"/>
    <w:rsid w:val="00CA5632"/>
    <w:rsid w:val="00CB2CC4"/>
    <w:rsid w:val="00CB5C2E"/>
    <w:rsid w:val="00CB66E1"/>
    <w:rsid w:val="00CB754A"/>
    <w:rsid w:val="00CC1A45"/>
    <w:rsid w:val="00CC44BE"/>
    <w:rsid w:val="00CD15EA"/>
    <w:rsid w:val="00CD7728"/>
    <w:rsid w:val="00CE3000"/>
    <w:rsid w:val="00CE34DC"/>
    <w:rsid w:val="00CE7DEB"/>
    <w:rsid w:val="00CF63F3"/>
    <w:rsid w:val="00CF7AE3"/>
    <w:rsid w:val="00D0118B"/>
    <w:rsid w:val="00D11272"/>
    <w:rsid w:val="00D16224"/>
    <w:rsid w:val="00D239B1"/>
    <w:rsid w:val="00D2647E"/>
    <w:rsid w:val="00D30072"/>
    <w:rsid w:val="00D33208"/>
    <w:rsid w:val="00D36ADF"/>
    <w:rsid w:val="00D42709"/>
    <w:rsid w:val="00D46D30"/>
    <w:rsid w:val="00D62C58"/>
    <w:rsid w:val="00D644BC"/>
    <w:rsid w:val="00D809B2"/>
    <w:rsid w:val="00DA3B19"/>
    <w:rsid w:val="00DB0A11"/>
    <w:rsid w:val="00DB2D2E"/>
    <w:rsid w:val="00DC3193"/>
    <w:rsid w:val="00DD315D"/>
    <w:rsid w:val="00DF2904"/>
    <w:rsid w:val="00E34C7B"/>
    <w:rsid w:val="00E40E1B"/>
    <w:rsid w:val="00E505F9"/>
    <w:rsid w:val="00E55A06"/>
    <w:rsid w:val="00E7026B"/>
    <w:rsid w:val="00E91AE1"/>
    <w:rsid w:val="00EA369F"/>
    <w:rsid w:val="00EB7D71"/>
    <w:rsid w:val="00EC5A13"/>
    <w:rsid w:val="00EE6D52"/>
    <w:rsid w:val="00EE73E7"/>
    <w:rsid w:val="00F05986"/>
    <w:rsid w:val="00F16650"/>
    <w:rsid w:val="00F2420A"/>
    <w:rsid w:val="00F24881"/>
    <w:rsid w:val="00F27DA9"/>
    <w:rsid w:val="00F35223"/>
    <w:rsid w:val="00F422A8"/>
    <w:rsid w:val="00F42C58"/>
    <w:rsid w:val="00F55246"/>
    <w:rsid w:val="00F64377"/>
    <w:rsid w:val="00F66058"/>
    <w:rsid w:val="00F678CB"/>
    <w:rsid w:val="00F67AAD"/>
    <w:rsid w:val="00F712C1"/>
    <w:rsid w:val="00F719F2"/>
    <w:rsid w:val="00F71E22"/>
    <w:rsid w:val="00F762B9"/>
    <w:rsid w:val="00F82EB2"/>
    <w:rsid w:val="00F835C8"/>
    <w:rsid w:val="00F86448"/>
    <w:rsid w:val="00F8672C"/>
    <w:rsid w:val="00FC2C2D"/>
    <w:rsid w:val="00FC4DBD"/>
    <w:rsid w:val="00FC602C"/>
    <w:rsid w:val="00FD10E8"/>
    <w:rsid w:val="00FD6A71"/>
    <w:rsid w:val="00FD6A8C"/>
    <w:rsid w:val="00FE5B40"/>
    <w:rsid w:val="00FF3073"/>
    <w:rsid w:val="00FF4D3D"/>
    <w:rsid w:val="02E35293"/>
    <w:rsid w:val="03667C72"/>
    <w:rsid w:val="03BD1133"/>
    <w:rsid w:val="04163446"/>
    <w:rsid w:val="04D53301"/>
    <w:rsid w:val="060101C2"/>
    <w:rsid w:val="08D04983"/>
    <w:rsid w:val="1277225B"/>
    <w:rsid w:val="13763F01"/>
    <w:rsid w:val="1441474E"/>
    <w:rsid w:val="14860174"/>
    <w:rsid w:val="1EB26C8F"/>
    <w:rsid w:val="2C3100EF"/>
    <w:rsid w:val="31B1462B"/>
    <w:rsid w:val="34AC3AD5"/>
    <w:rsid w:val="3502780C"/>
    <w:rsid w:val="370B3A6C"/>
    <w:rsid w:val="378B76CC"/>
    <w:rsid w:val="3B251BE5"/>
    <w:rsid w:val="3C4D64ED"/>
    <w:rsid w:val="3E6A11F8"/>
    <w:rsid w:val="408A4167"/>
    <w:rsid w:val="412E6FAE"/>
    <w:rsid w:val="41EC0D67"/>
    <w:rsid w:val="45963EE5"/>
    <w:rsid w:val="4F26789B"/>
    <w:rsid w:val="515D3A2F"/>
    <w:rsid w:val="54837309"/>
    <w:rsid w:val="58390E65"/>
    <w:rsid w:val="59E7033A"/>
    <w:rsid w:val="607E12CC"/>
    <w:rsid w:val="613D2F35"/>
    <w:rsid w:val="66140709"/>
    <w:rsid w:val="66EF4CD2"/>
    <w:rsid w:val="680B58AB"/>
    <w:rsid w:val="6AD77CF8"/>
    <w:rsid w:val="6DDB5FB0"/>
    <w:rsid w:val="6F1E43A6"/>
    <w:rsid w:val="6F780659"/>
    <w:rsid w:val="71380B4B"/>
    <w:rsid w:val="7698297C"/>
    <w:rsid w:val="7727085B"/>
    <w:rsid w:val="78393950"/>
    <w:rsid w:val="783D2AE9"/>
    <w:rsid w:val="7AE8258A"/>
    <w:rsid w:val="7C44115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heading 1"/>
    <w:basedOn w:val="1"/>
    <w:next w:val="1"/>
    <w:link w:val="20"/>
    <w:qFormat/>
    <w:uiPriority w:val="0"/>
    <w:pPr>
      <w:keepNext/>
      <w:keepLines/>
      <w:spacing w:before="340" w:after="330" w:line="576" w:lineRule="auto"/>
      <w:outlineLvl w:val="0"/>
    </w:pPr>
    <w:rPr>
      <w:rFonts w:ascii="Times New Roman" w:hAnsi="Times New Roman"/>
      <w:b/>
      <w:kern w:val="44"/>
      <w:sz w:val="44"/>
      <w:szCs w:val="20"/>
    </w:rPr>
  </w:style>
  <w:style w:type="paragraph" w:styleId="5">
    <w:name w:val="heading 2"/>
    <w:basedOn w:val="1"/>
    <w:next w:val="1"/>
    <w:link w:val="21"/>
    <w:qFormat/>
    <w:uiPriority w:val="0"/>
    <w:pPr>
      <w:spacing w:before="100" w:beforeAutospacing="1" w:after="100" w:afterAutospacing="1"/>
      <w:jc w:val="left"/>
      <w:outlineLvl w:val="1"/>
    </w:pPr>
    <w:rPr>
      <w:rFonts w:ascii="宋体" w:hAnsi="宋体"/>
      <w:b/>
      <w:kern w:val="0"/>
      <w:sz w:val="36"/>
      <w:szCs w:val="36"/>
    </w:rPr>
  </w:style>
  <w:style w:type="paragraph" w:styleId="6">
    <w:name w:val="heading 3"/>
    <w:basedOn w:val="1"/>
    <w:next w:val="1"/>
    <w:qFormat/>
    <w:uiPriority w:val="0"/>
    <w:pPr>
      <w:keepNext/>
      <w:keepLines/>
      <w:numPr>
        <w:ilvl w:val="2"/>
        <w:numId w:val="1"/>
      </w:numPr>
      <w:spacing w:before="260" w:after="260" w:line="413" w:lineRule="auto"/>
      <w:ind w:left="720" w:hanging="720"/>
      <w:outlineLvl w:val="2"/>
    </w:pPr>
    <w:rPr>
      <w:b/>
      <w:sz w:val="32"/>
    </w:rPr>
  </w:style>
  <w:style w:type="character" w:default="1" w:styleId="18">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styleId="2">
    <w:name w:val="footnote text"/>
    <w:basedOn w:val="1"/>
    <w:next w:val="3"/>
    <w:link w:val="19"/>
    <w:semiHidden/>
    <w:qFormat/>
    <w:uiPriority w:val="99"/>
    <w:pPr>
      <w:snapToGrid w:val="0"/>
      <w:jc w:val="left"/>
    </w:pPr>
    <w:rPr>
      <w:rFonts w:ascii="Times New Roman" w:hAnsi="Times New Roman"/>
      <w:kern w:val="0"/>
      <w:sz w:val="18"/>
      <w:szCs w:val="18"/>
    </w:rPr>
  </w:style>
  <w:style w:type="paragraph" w:styleId="3">
    <w:name w:val="index 5"/>
    <w:basedOn w:val="1"/>
    <w:next w:val="1"/>
    <w:qFormat/>
    <w:uiPriority w:val="0"/>
    <w:pPr>
      <w:ind w:left="798"/>
      <w:jc w:val="left"/>
    </w:pPr>
    <w:rPr>
      <w:rFonts w:ascii="Calibri" w:hAnsi="Calibri"/>
    </w:rPr>
  </w:style>
  <w:style w:type="paragraph" w:styleId="7">
    <w:name w:val="Body Text"/>
    <w:basedOn w:val="1"/>
    <w:next w:val="1"/>
    <w:link w:val="22"/>
    <w:qFormat/>
    <w:uiPriority w:val="0"/>
    <w:pPr>
      <w:spacing w:after="120"/>
    </w:pPr>
    <w:rPr>
      <w:rFonts w:ascii="Times New Roman" w:hAnsi="Times New Roman"/>
      <w:szCs w:val="20"/>
    </w:rPr>
  </w:style>
  <w:style w:type="paragraph" w:styleId="8">
    <w:name w:val="Body Text Indent"/>
    <w:basedOn w:val="1"/>
    <w:next w:val="9"/>
    <w:link w:val="23"/>
    <w:qFormat/>
    <w:uiPriority w:val="0"/>
    <w:pPr>
      <w:spacing w:after="120"/>
      <w:ind w:left="420" w:leftChars="200"/>
    </w:pPr>
    <w:rPr>
      <w:rFonts w:ascii="Times New Roman" w:hAnsi="Times New Roman"/>
      <w:szCs w:val="20"/>
    </w:rPr>
  </w:style>
  <w:style w:type="paragraph" w:styleId="9">
    <w:name w:val="Body Text Indent 2"/>
    <w:basedOn w:val="1"/>
    <w:link w:val="24"/>
    <w:qFormat/>
    <w:uiPriority w:val="0"/>
    <w:pPr>
      <w:spacing w:line="480" w:lineRule="auto"/>
      <w:ind w:left="200" w:leftChars="200"/>
    </w:pPr>
    <w:rPr>
      <w:rFonts w:ascii="Times New Roman" w:hAnsi="Times New Roman"/>
    </w:rPr>
  </w:style>
  <w:style w:type="paragraph" w:styleId="10">
    <w:name w:val="Balloon Text"/>
    <w:basedOn w:val="1"/>
    <w:link w:val="25"/>
    <w:unhideWhenUsed/>
    <w:qFormat/>
    <w:uiPriority w:val="0"/>
    <w:rPr>
      <w:sz w:val="18"/>
      <w:szCs w:val="18"/>
    </w:rPr>
  </w:style>
  <w:style w:type="paragraph" w:styleId="11">
    <w:name w:val="footer"/>
    <w:basedOn w:val="1"/>
    <w:link w:val="26"/>
    <w:unhideWhenUsed/>
    <w:qFormat/>
    <w:uiPriority w:val="0"/>
    <w:pPr>
      <w:tabs>
        <w:tab w:val="center" w:pos="4153"/>
        <w:tab w:val="right" w:pos="8306"/>
      </w:tabs>
      <w:snapToGrid w:val="0"/>
      <w:jc w:val="left"/>
    </w:pPr>
    <w:rPr>
      <w:kern w:val="0"/>
      <w:sz w:val="18"/>
      <w:szCs w:val="18"/>
    </w:rPr>
  </w:style>
  <w:style w:type="paragraph" w:styleId="12">
    <w:name w:val="header"/>
    <w:basedOn w:val="1"/>
    <w:link w:val="27"/>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4">
    <w:name w:val="Body Text First Indent"/>
    <w:basedOn w:val="7"/>
    <w:next w:val="15"/>
    <w:link w:val="28"/>
    <w:qFormat/>
    <w:uiPriority w:val="0"/>
  </w:style>
  <w:style w:type="paragraph" w:styleId="15">
    <w:name w:val="Body Text First Indent 2"/>
    <w:basedOn w:val="8"/>
    <w:next w:val="14"/>
    <w:link w:val="29"/>
    <w:qFormat/>
    <w:uiPriority w:val="0"/>
    <w:pPr>
      <w:spacing w:line="15" w:lineRule="auto"/>
      <w:ind w:left="0" w:leftChars="0"/>
    </w:pPr>
    <w:rPr>
      <w:rFonts w:ascii="Calibri" w:hAnsi="Calibri"/>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9">
    <w:name w:val="脚注文本 Char"/>
    <w:link w:val="2"/>
    <w:semiHidden/>
    <w:qFormat/>
    <w:uiPriority w:val="99"/>
    <w:rPr>
      <w:rFonts w:ascii="Times New Roman" w:hAnsi="Times New Roman"/>
      <w:sz w:val="18"/>
      <w:szCs w:val="18"/>
    </w:rPr>
  </w:style>
  <w:style w:type="character" w:customStyle="1" w:styleId="20">
    <w:name w:val="标题 1 Char"/>
    <w:link w:val="4"/>
    <w:qFormat/>
    <w:uiPriority w:val="0"/>
    <w:rPr>
      <w:rFonts w:ascii="Times New Roman" w:hAnsi="Times New Roman"/>
      <w:b/>
      <w:kern w:val="44"/>
      <w:sz w:val="44"/>
    </w:rPr>
  </w:style>
  <w:style w:type="character" w:customStyle="1" w:styleId="21">
    <w:name w:val="标题 2 Char1"/>
    <w:link w:val="5"/>
    <w:qFormat/>
    <w:uiPriority w:val="0"/>
    <w:rPr>
      <w:rFonts w:ascii="宋体" w:hAnsi="宋体" w:cs="宋体"/>
      <w:b/>
      <w:sz w:val="36"/>
      <w:szCs w:val="36"/>
    </w:rPr>
  </w:style>
  <w:style w:type="character" w:customStyle="1" w:styleId="22">
    <w:name w:val="正文文本 Char"/>
    <w:link w:val="7"/>
    <w:qFormat/>
    <w:uiPriority w:val="0"/>
    <w:rPr>
      <w:rFonts w:ascii="Times New Roman" w:hAnsi="Times New Roman"/>
      <w:kern w:val="2"/>
      <w:sz w:val="21"/>
    </w:rPr>
  </w:style>
  <w:style w:type="character" w:customStyle="1" w:styleId="23">
    <w:name w:val="正文文本缩进 Char"/>
    <w:link w:val="8"/>
    <w:qFormat/>
    <w:uiPriority w:val="0"/>
    <w:rPr>
      <w:rFonts w:ascii="Times New Roman" w:hAnsi="Times New Roman"/>
      <w:kern w:val="2"/>
      <w:sz w:val="21"/>
    </w:rPr>
  </w:style>
  <w:style w:type="character" w:customStyle="1" w:styleId="24">
    <w:name w:val="正文文本缩进 2 Char"/>
    <w:link w:val="9"/>
    <w:qFormat/>
    <w:uiPriority w:val="0"/>
    <w:rPr>
      <w:rFonts w:ascii="Times New Roman" w:hAnsi="Times New Roman"/>
      <w:kern w:val="2"/>
      <w:sz w:val="21"/>
      <w:szCs w:val="22"/>
    </w:rPr>
  </w:style>
  <w:style w:type="character" w:customStyle="1" w:styleId="25">
    <w:name w:val="批注框文本 Char"/>
    <w:link w:val="10"/>
    <w:qFormat/>
    <w:uiPriority w:val="0"/>
    <w:rPr>
      <w:kern w:val="2"/>
      <w:sz w:val="18"/>
      <w:szCs w:val="18"/>
    </w:rPr>
  </w:style>
  <w:style w:type="character" w:customStyle="1" w:styleId="26">
    <w:name w:val="页脚 Char"/>
    <w:link w:val="11"/>
    <w:qFormat/>
    <w:uiPriority w:val="0"/>
    <w:rPr>
      <w:sz w:val="18"/>
      <w:szCs w:val="18"/>
    </w:rPr>
  </w:style>
  <w:style w:type="character" w:customStyle="1" w:styleId="27">
    <w:name w:val="页眉 Char"/>
    <w:link w:val="12"/>
    <w:qFormat/>
    <w:uiPriority w:val="0"/>
    <w:rPr>
      <w:sz w:val="18"/>
      <w:szCs w:val="18"/>
    </w:rPr>
  </w:style>
  <w:style w:type="character" w:customStyle="1" w:styleId="28">
    <w:name w:val="正文首行缩进 Char"/>
    <w:basedOn w:val="22"/>
    <w:link w:val="14"/>
    <w:qFormat/>
    <w:uiPriority w:val="0"/>
  </w:style>
  <w:style w:type="character" w:customStyle="1" w:styleId="29">
    <w:name w:val="正文首行缩进 2 Char"/>
    <w:basedOn w:val="23"/>
    <w:link w:val="15"/>
    <w:qFormat/>
    <w:uiPriority w:val="0"/>
  </w:style>
  <w:style w:type="character" w:customStyle="1" w:styleId="30">
    <w:name w:val="标题 2 Char"/>
    <w:semiHidden/>
    <w:qFormat/>
    <w:uiPriority w:val="9"/>
    <w:rPr>
      <w:rFonts w:ascii="Calibri Light" w:hAnsi="Calibri Light" w:eastAsia="宋体" w:cs="Times New Roman"/>
      <w:b/>
      <w:bCs/>
      <w:kern w:val="2"/>
      <w:sz w:val="32"/>
      <w:szCs w:val="32"/>
    </w:rPr>
  </w:style>
  <w:style w:type="table" w:customStyle="1" w:styleId="31">
    <w:name w:val="Table Normal"/>
    <w:basedOn w:val="16"/>
    <w:unhideWhenUsed/>
    <w:qFormat/>
    <w:uiPriority w:val="0"/>
    <w:rPr>
      <w:rFonts w:ascii="Times New Roman" w:hAnsi="Times New Roman"/>
    </w:rPr>
    <w:tblPr>
      <w:tblCellMar>
        <w:left w:w="0" w:type="dxa"/>
        <w:right w:w="0" w:type="dxa"/>
      </w:tblCellMar>
    </w:tblPr>
  </w:style>
  <w:style w:type="paragraph" w:customStyle="1" w:styleId="32">
    <w:name w:val=" Char"/>
    <w:basedOn w:val="1"/>
    <w:qFormat/>
    <w:uiPriority w:val="0"/>
    <w:rPr>
      <w:rFonts w:ascii="Times New Roman" w:hAnsi="Times New Roman"/>
      <w:szCs w:val="20"/>
    </w:rPr>
  </w:style>
  <w:style w:type="paragraph" w:customStyle="1" w:styleId="33">
    <w:name w:val="Char"/>
    <w:basedOn w:val="1"/>
    <w:qFormat/>
    <w:uiPriority w:val="0"/>
    <w:rPr>
      <w:rFonts w:ascii="Times New Roman" w:hAnsi="Times New Roman"/>
      <w:szCs w:val="24"/>
    </w:rPr>
  </w:style>
  <w:style w:type="paragraph" w:customStyle="1" w:styleId="34">
    <w:name w:val="Table Text"/>
    <w:basedOn w:val="1"/>
    <w:semiHidden/>
    <w:qFormat/>
    <w:uiPriority w:val="0"/>
    <w:rPr>
      <w:rFonts w:ascii="宋体" w:hAnsi="宋体" w:eastAsia="宋体" w:cs="宋体"/>
      <w:sz w:val="21"/>
      <w:szCs w:val="21"/>
      <w:lang w:val="en-US" w:eastAsia="en-US" w:bidi="ar-SA"/>
    </w:rPr>
  </w:style>
  <w:style w:type="character" w:customStyle="1" w:styleId="35">
    <w:name w:val="font01"/>
    <w:basedOn w:val="18"/>
    <w:qFormat/>
    <w:uiPriority w:val="0"/>
    <w:rPr>
      <w:rFonts w:hint="eastAsia" w:ascii="宋体" w:hAnsi="宋体" w:eastAsia="宋体" w:cs="宋体"/>
      <w:color w:val="000000"/>
      <w:sz w:val="22"/>
      <w:szCs w:val="22"/>
      <w:u w:val="none"/>
    </w:rPr>
  </w:style>
  <w:style w:type="character" w:customStyle="1" w:styleId="36">
    <w:name w:val="font21"/>
    <w:basedOn w:val="18"/>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UQi.me</Company>
  <Pages>32</Pages>
  <Words>14117</Words>
  <Characters>15332</Characters>
  <Lines>49</Lines>
  <Paragraphs>13</Paragraphs>
  <TotalTime>16</TotalTime>
  <ScaleCrop>false</ScaleCrop>
  <LinksUpToDate>false</LinksUpToDate>
  <CharactersWithSpaces>16258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2023-08-25T07:54:00Z</dcterms:created>
  <dc:creator>Windows 用户</dc:creator>
  <cp:lastModifiedBy>深邃之银</cp:lastModifiedBy>
  <cp:lastPrinted>2023-05-12T06:50:00Z</cp:lastPrinted>
  <dcterms:modified xsi:type="dcterms:W3CDTF">2024-06-06T08:04:21Z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4703F5F654224E13AA19941D5A1B7361_13</vt:lpwstr>
  </property>
</Properties>
</file>